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69D" w:rsidRDefault="00CF469D">
      <w:pPr>
        <w:pStyle w:val="CRCoverPage"/>
        <w:tabs>
          <w:tab w:val="right" w:pos="9639"/>
        </w:tabs>
        <w:spacing w:after="0" w:line="276" w:lineRule="auto"/>
        <w:rPr>
          <w:b/>
          <w:sz w:val="24"/>
          <w:lang w:eastAsia="zh-CN"/>
        </w:rPr>
      </w:pPr>
      <w:r>
        <w:rPr>
          <w:b/>
          <w:sz w:val="24"/>
        </w:rPr>
        <w:t>3GPP TSG RAN WG3#</w:t>
      </w:r>
      <w:r>
        <w:rPr>
          <w:b/>
          <w:sz w:val="24"/>
          <w:lang w:val="en-US" w:eastAsia="zh-CN"/>
        </w:rPr>
        <w:t>12</w:t>
      </w:r>
      <w:r w:rsidR="00EF3AFA">
        <w:rPr>
          <w:b/>
          <w:sz w:val="24"/>
          <w:lang w:val="en-US" w:eastAsia="zh-CN"/>
        </w:rPr>
        <w:t>4</w:t>
      </w:r>
      <w:r>
        <w:rPr>
          <w:b/>
          <w:sz w:val="24"/>
        </w:rPr>
        <w:tab/>
        <w:t>R3-2</w:t>
      </w:r>
      <w:r w:rsidR="00714EA5">
        <w:rPr>
          <w:b/>
          <w:sz w:val="24"/>
        </w:rPr>
        <w:t>4</w:t>
      </w:r>
      <w:r w:rsidR="00E47F54">
        <w:rPr>
          <w:b/>
          <w:sz w:val="24"/>
        </w:rPr>
        <w:t>3607</w:t>
      </w:r>
      <w:bookmarkStart w:id="0" w:name="_GoBack"/>
      <w:bookmarkEnd w:id="0"/>
    </w:p>
    <w:p w:rsidR="00CF469D" w:rsidRDefault="00370373">
      <w:pPr>
        <w:pStyle w:val="CRCoverPage"/>
        <w:tabs>
          <w:tab w:val="right" w:pos="9639"/>
        </w:tabs>
        <w:spacing w:after="0" w:line="276" w:lineRule="auto"/>
        <w:rPr>
          <w:b/>
          <w:sz w:val="24"/>
        </w:rPr>
      </w:pPr>
      <w:r>
        <w:rPr>
          <w:rFonts w:hint="eastAsia"/>
          <w:b/>
          <w:sz w:val="24"/>
          <w:lang w:eastAsia="zh-CN"/>
        </w:rPr>
        <w:t>Fukuoka</w:t>
      </w:r>
      <w:r w:rsidR="00CF469D">
        <w:rPr>
          <w:b/>
          <w:sz w:val="24"/>
        </w:rPr>
        <w:t xml:space="preserve">, </w:t>
      </w:r>
      <w:r>
        <w:rPr>
          <w:rFonts w:hint="eastAsia"/>
          <w:b/>
          <w:sz w:val="24"/>
          <w:lang w:eastAsia="zh-CN"/>
        </w:rPr>
        <w:t>Japan</w:t>
      </w:r>
      <w:r w:rsidR="00CF469D">
        <w:rPr>
          <w:b/>
          <w:sz w:val="24"/>
        </w:rPr>
        <w:t xml:space="preserve">, </w:t>
      </w:r>
      <w:r>
        <w:rPr>
          <w:b/>
          <w:sz w:val="24"/>
        </w:rPr>
        <w:t>20</w:t>
      </w:r>
      <w:r w:rsidR="00CF469D">
        <w:rPr>
          <w:b/>
          <w:sz w:val="24"/>
        </w:rPr>
        <w:t xml:space="preserve"> – </w:t>
      </w:r>
      <w:r>
        <w:rPr>
          <w:b/>
          <w:sz w:val="24"/>
        </w:rPr>
        <w:t>24</w:t>
      </w:r>
      <w:r w:rsidR="00CF469D">
        <w:rPr>
          <w:b/>
          <w:sz w:val="24"/>
        </w:rPr>
        <w:t xml:space="preserve"> </w:t>
      </w:r>
      <w:r>
        <w:rPr>
          <w:rFonts w:hint="eastAsia"/>
          <w:b/>
          <w:sz w:val="24"/>
          <w:lang w:eastAsia="zh-CN"/>
        </w:rPr>
        <w:t>May</w:t>
      </w:r>
      <w:r w:rsidR="000D5276">
        <w:rPr>
          <w:b/>
          <w:sz w:val="24"/>
        </w:rPr>
        <w:t>, 2024</w:t>
      </w:r>
    </w:p>
    <w:p w:rsidR="00CF469D" w:rsidRDefault="00CF469D">
      <w:pPr>
        <w:tabs>
          <w:tab w:val="left" w:pos="1985"/>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461E" w:rsidRPr="00A1461E">
        <w:rPr>
          <w:rFonts w:ascii="Arial" w:hAnsi="Arial" w:cs="Arial" w:hint="eastAsia"/>
          <w:b/>
          <w:bCs/>
          <w:lang w:val="en-US"/>
        </w:rPr>
        <w:t>O</w:t>
      </w:r>
      <w:r>
        <w:rPr>
          <w:rFonts w:ascii="Arial" w:hAnsi="Arial" w:cs="Arial" w:hint="eastAsia"/>
          <w:b/>
          <w:bCs/>
          <w:lang w:val="en-US"/>
        </w:rPr>
        <w:t>n</w:t>
      </w:r>
      <w:r>
        <w:rPr>
          <w:rFonts w:ascii="Arial" w:hAnsi="Arial" w:cs="Arial"/>
          <w:b/>
          <w:bCs/>
          <w:lang w:val="en-US"/>
        </w:rPr>
        <w:t xml:space="preserve"> </w:t>
      </w:r>
      <w:r w:rsidR="00FC0EB3">
        <w:rPr>
          <w:rFonts w:ascii="Arial" w:hAnsi="Arial" w:cs="Arial" w:hint="eastAsia"/>
          <w:b/>
          <w:bCs/>
          <w:lang w:val="en-US"/>
        </w:rPr>
        <w:t>Access</w:t>
      </w:r>
      <w:r w:rsidR="00FC0EB3">
        <w:rPr>
          <w:rFonts w:ascii="Arial" w:hAnsi="Arial" w:cs="Arial"/>
          <w:b/>
          <w:bCs/>
          <w:lang w:val="en-US"/>
        </w:rPr>
        <w:t xml:space="preserve"> </w:t>
      </w:r>
      <w:r w:rsidR="00FC0EB3">
        <w:rPr>
          <w:rFonts w:ascii="Arial" w:hAnsi="Arial" w:cs="Arial" w:hint="eastAsia"/>
          <w:b/>
          <w:bCs/>
          <w:lang w:val="en-US"/>
        </w:rPr>
        <w:t>Control</w:t>
      </w:r>
      <w:r w:rsidR="00FC0EB3">
        <w:rPr>
          <w:rFonts w:ascii="Arial" w:hAnsi="Arial" w:cs="Arial"/>
          <w:b/>
          <w:bCs/>
          <w:lang w:val="en-US"/>
        </w:rPr>
        <w:t xml:space="preserve"> </w:t>
      </w:r>
      <w:r w:rsidR="00FC0EB3">
        <w:rPr>
          <w:rFonts w:ascii="Arial" w:hAnsi="Arial" w:cs="Arial" w:hint="eastAsia"/>
          <w:b/>
          <w:bCs/>
          <w:lang w:val="en-US"/>
        </w:rPr>
        <w:t>for</w:t>
      </w:r>
      <w:r w:rsidR="00FC0EB3">
        <w:rPr>
          <w:rFonts w:ascii="Arial" w:hAnsi="Arial" w:cs="Arial"/>
          <w:b/>
          <w:bCs/>
          <w:lang w:val="en-US"/>
        </w:rPr>
        <w:t xml:space="preserve"> </w:t>
      </w:r>
      <w:r w:rsidR="00FC0EB3">
        <w:rPr>
          <w:rFonts w:ascii="Arial" w:hAnsi="Arial" w:cs="Arial" w:hint="eastAsia"/>
          <w:b/>
          <w:bCs/>
          <w:lang w:val="en-US"/>
        </w:rPr>
        <w:t>NR</w:t>
      </w:r>
      <w:r w:rsidR="008A7FB3">
        <w:rPr>
          <w:rFonts w:ascii="Arial" w:hAnsi="Arial" w:cs="Arial"/>
          <w:b/>
          <w:bCs/>
          <w:lang w:val="en-US"/>
        </w:rPr>
        <w:t xml:space="preserve"> </w:t>
      </w:r>
      <w:proofErr w:type="spellStart"/>
      <w:r w:rsidR="008A7FB3">
        <w:rPr>
          <w:rFonts w:ascii="Arial" w:hAnsi="Arial" w:cs="Arial" w:hint="eastAsia"/>
          <w:b/>
          <w:bCs/>
          <w:lang w:val="en-US"/>
        </w:rPr>
        <w:t>Femto</w:t>
      </w:r>
      <w:proofErr w:type="spellEnd"/>
      <w:r>
        <w:rPr>
          <w:rFonts w:ascii="Arial" w:hAnsi="Arial" w:cs="Arial"/>
          <w:b/>
          <w:bCs/>
          <w:lang w:val="en-US"/>
        </w:rPr>
        <w:t xml:space="preserve"> </w:t>
      </w:r>
    </w:p>
    <w:p w:rsidR="00CF469D" w:rsidRDefault="00CF469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rsidR="00CF469D" w:rsidRDefault="00CF469D">
      <w:pPr>
        <w:tabs>
          <w:tab w:val="left" w:pos="1985"/>
        </w:tabs>
        <w:spacing w:line="276" w:lineRule="auto"/>
        <w:ind w:left="1980" w:hanging="1980"/>
        <w:rPr>
          <w:rFonts w:ascii="Arial" w:hAnsi="Arial"/>
          <w:b/>
          <w:sz w:val="24"/>
          <w:lang w:val="en-US"/>
        </w:rPr>
      </w:pPr>
      <w:r>
        <w:rPr>
          <w:rFonts w:ascii="Arial" w:hAnsi="Arial"/>
          <w:b/>
          <w:sz w:val="24"/>
          <w:lang w:val="en-US"/>
        </w:rPr>
        <w:t>Agenda item:</w:t>
      </w:r>
      <w:r>
        <w:rPr>
          <w:rFonts w:ascii="Arial" w:hAnsi="Arial"/>
          <w:sz w:val="24"/>
          <w:lang w:val="en-US"/>
        </w:rPr>
        <w:tab/>
      </w:r>
      <w:r>
        <w:rPr>
          <w:rFonts w:ascii="Arial" w:hAnsi="Arial"/>
          <w:b/>
          <w:sz w:val="24"/>
          <w:lang w:val="en-US"/>
        </w:rPr>
        <w:t>1</w:t>
      </w:r>
      <w:r w:rsidR="00790CED">
        <w:rPr>
          <w:rFonts w:ascii="Arial" w:hAnsi="Arial"/>
          <w:b/>
          <w:sz w:val="24"/>
          <w:lang w:val="en-US"/>
        </w:rPr>
        <w:t>2</w:t>
      </w:r>
      <w:r>
        <w:rPr>
          <w:rFonts w:ascii="Arial" w:hAnsi="Arial"/>
          <w:b/>
          <w:sz w:val="24"/>
          <w:lang w:val="en-US"/>
        </w:rPr>
        <w:t>.</w:t>
      </w:r>
      <w:r w:rsidR="00790CED">
        <w:rPr>
          <w:rFonts w:ascii="Arial" w:hAnsi="Arial"/>
          <w:b/>
          <w:sz w:val="24"/>
          <w:lang w:val="en-US"/>
        </w:rPr>
        <w:t>3</w:t>
      </w:r>
    </w:p>
    <w:p w:rsidR="00CF469D" w:rsidRDefault="00CF469D">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rsidR="00CF469D" w:rsidRDefault="00CF469D">
      <w:pPr>
        <w:pStyle w:val="1"/>
        <w:numPr>
          <w:ilvl w:val="0"/>
          <w:numId w:val="12"/>
        </w:numPr>
        <w:tabs>
          <w:tab w:val="left" w:pos="432"/>
        </w:tabs>
        <w:spacing w:line="276" w:lineRule="auto"/>
        <w:rPr>
          <w:b/>
        </w:rPr>
      </w:pPr>
      <w:r>
        <w:rPr>
          <w:b/>
        </w:rPr>
        <w:t>I</w:t>
      </w:r>
      <w:r>
        <w:rPr>
          <w:rFonts w:hint="eastAsia"/>
          <w:b/>
        </w:rPr>
        <w:t>ntroduction</w:t>
      </w:r>
    </w:p>
    <w:p w:rsidR="005F4B5A" w:rsidRDefault="007B4297" w:rsidP="005F4B5A">
      <w:r>
        <w:rPr>
          <w:rFonts w:hint="eastAsia"/>
        </w:rPr>
        <w:t>In</w:t>
      </w:r>
      <w:r>
        <w:t xml:space="preserve"> </w:t>
      </w:r>
      <w:r w:rsidR="00A52B66">
        <w:rPr>
          <w:rFonts w:hint="eastAsia"/>
        </w:rPr>
        <w:t>RAN</w:t>
      </w:r>
      <w:r w:rsidR="00A52B66">
        <w:t>3</w:t>
      </w:r>
      <w:r w:rsidR="00A52B66">
        <w:rPr>
          <w:rFonts w:hint="eastAsia"/>
        </w:rPr>
        <w:t>#</w:t>
      </w:r>
      <w:r w:rsidR="00A52B66">
        <w:t>123</w:t>
      </w:r>
      <w:r w:rsidR="00A52B66">
        <w:rPr>
          <w:rFonts w:hint="eastAsia"/>
        </w:rPr>
        <w:t>b</w:t>
      </w:r>
      <w:r w:rsidR="00A52B66">
        <w:t xml:space="preserve"> </w:t>
      </w:r>
      <w:r>
        <w:rPr>
          <w:rFonts w:hint="eastAsia"/>
        </w:rPr>
        <w:t>meeting,</w:t>
      </w:r>
      <w:r>
        <w:t xml:space="preserve"> we start the </w:t>
      </w:r>
      <w:r w:rsidR="00A52B66">
        <w:rPr>
          <w:rFonts w:hint="eastAsia"/>
        </w:rPr>
        <w:t>discussion</w:t>
      </w:r>
      <w:r>
        <w:t xml:space="preserve"> on SI of 5G </w:t>
      </w:r>
      <w:proofErr w:type="spellStart"/>
      <w:r>
        <w:t>Femto</w:t>
      </w:r>
      <w:proofErr w:type="spellEnd"/>
      <w:r>
        <w:t xml:space="preserve"> support. </w:t>
      </w:r>
      <w:r w:rsidR="009A1EE4">
        <w:rPr>
          <w:rFonts w:hint="eastAsia"/>
        </w:rPr>
        <w:t>A</w:t>
      </w:r>
      <w:r w:rsidR="009A1EE4">
        <w:t xml:space="preserve"> </w:t>
      </w:r>
      <w:r w:rsidR="009A1EE4">
        <w:rPr>
          <w:rFonts w:hint="eastAsia"/>
        </w:rPr>
        <w:t>few</w:t>
      </w:r>
      <w:r w:rsidR="00A52B66">
        <w:t xml:space="preserve"> </w:t>
      </w:r>
      <w:r w:rsidR="009A1EE4">
        <w:rPr>
          <w:rFonts w:hint="eastAsia"/>
        </w:rPr>
        <w:t>consensus</w:t>
      </w:r>
      <w:r w:rsidR="001B004C">
        <w:t>es</w:t>
      </w:r>
      <w:r w:rsidR="009A1EE4">
        <w:t xml:space="preserve"> </w:t>
      </w:r>
      <w:r w:rsidR="001B004C">
        <w:rPr>
          <w:rFonts w:hint="eastAsia"/>
        </w:rPr>
        <w:t>ha</w:t>
      </w:r>
      <w:r w:rsidR="001B004C">
        <w:t>ve</w:t>
      </w:r>
      <w:r w:rsidR="009A1EE4">
        <w:t xml:space="preserve"> </w:t>
      </w:r>
      <w:r w:rsidR="009A1EE4">
        <w:rPr>
          <w:rFonts w:hint="eastAsia"/>
        </w:rPr>
        <w:t>been</w:t>
      </w:r>
      <w:r w:rsidR="009A1EE4">
        <w:t xml:space="preserve"> </w:t>
      </w:r>
      <w:r w:rsidR="009A1EE4">
        <w:rPr>
          <w:rFonts w:hint="eastAsia"/>
        </w:rPr>
        <w:t>reached</w:t>
      </w:r>
      <w:r w:rsidR="009A1EE4">
        <w:t>, and some topics still need to be further discussed</w:t>
      </w:r>
      <w:r w:rsidR="005F4B5A">
        <w:t>.</w:t>
      </w:r>
      <w:r w:rsidR="009A1EE4">
        <w:t xml:space="preserve"> </w:t>
      </w:r>
      <w:r w:rsidR="005F4B5A">
        <w:t>I</w:t>
      </w:r>
      <w:r w:rsidR="005F4B5A">
        <w:rPr>
          <w:rFonts w:hint="eastAsia"/>
        </w:rPr>
        <w:t>n</w:t>
      </w:r>
      <w:r w:rsidR="005F4B5A">
        <w:t xml:space="preserve"> </w:t>
      </w:r>
      <w:r w:rsidR="005F4B5A">
        <w:rPr>
          <w:rFonts w:hint="eastAsia"/>
        </w:rPr>
        <w:t>this</w:t>
      </w:r>
      <w:r w:rsidR="005F4B5A">
        <w:t xml:space="preserve"> </w:t>
      </w:r>
      <w:r w:rsidR="005F4B5A">
        <w:rPr>
          <w:rFonts w:hint="eastAsia"/>
        </w:rPr>
        <w:t>paper</w:t>
      </w:r>
      <w:r w:rsidR="005F4B5A">
        <w:t xml:space="preserve">, we discuss the </w:t>
      </w:r>
      <w:r w:rsidR="00C27438">
        <w:rPr>
          <w:rFonts w:hint="eastAsia"/>
        </w:rPr>
        <w:t>access</w:t>
      </w:r>
      <w:r w:rsidR="00C27438">
        <w:t xml:space="preserve"> </w:t>
      </w:r>
      <w:r w:rsidR="00C27438">
        <w:rPr>
          <w:rFonts w:hint="eastAsia"/>
        </w:rPr>
        <w:t>control</w:t>
      </w:r>
      <w:r w:rsidR="00C27438">
        <w:t xml:space="preserve"> </w:t>
      </w:r>
      <w:r w:rsidR="00C27438">
        <w:rPr>
          <w:rFonts w:hint="eastAsia"/>
        </w:rPr>
        <w:t>for</w:t>
      </w:r>
      <w:r w:rsidR="00C27438">
        <w:t xml:space="preserve"> </w:t>
      </w:r>
      <w:r w:rsidR="00C27438">
        <w:rPr>
          <w:rFonts w:hint="eastAsia"/>
        </w:rPr>
        <w:t>NR</w:t>
      </w:r>
      <w:r w:rsidR="00C27438">
        <w:t xml:space="preserve"> </w:t>
      </w:r>
      <w:proofErr w:type="spellStart"/>
      <w:r w:rsidR="00C27438">
        <w:rPr>
          <w:rFonts w:hint="eastAsia"/>
        </w:rPr>
        <w:t>Femto</w:t>
      </w:r>
      <w:proofErr w:type="spellEnd"/>
      <w:r w:rsidR="00C27438">
        <w:t xml:space="preserve"> issue</w:t>
      </w:r>
      <w:r w:rsidR="005F4B5A">
        <w:t xml:space="preserve"> and provide our </w:t>
      </w:r>
      <w:r w:rsidR="005F4B5A">
        <w:rPr>
          <w:rFonts w:hint="eastAsia"/>
        </w:rPr>
        <w:t>views</w:t>
      </w:r>
      <w:r w:rsidR="00C27438">
        <w:rPr>
          <w:rFonts w:hint="eastAsia"/>
        </w:rPr>
        <w:t>.</w:t>
      </w:r>
    </w:p>
    <w:p w:rsidR="00941BC2" w:rsidRPr="005F4B5A" w:rsidRDefault="005F4B5A" w:rsidP="00437A68">
      <w:pPr>
        <w:pStyle w:val="af7"/>
        <w:numPr>
          <w:ilvl w:val="0"/>
          <w:numId w:val="24"/>
        </w:numPr>
        <w:spacing w:beforeLines="50" w:before="120" w:line="288" w:lineRule="auto"/>
        <w:ind w:left="1078" w:firstLineChars="0"/>
        <w:rPr>
          <w:rFonts w:cs="Calibri"/>
          <w:b/>
          <w:color w:val="0000FF"/>
          <w:sz w:val="18"/>
          <w:szCs w:val="18"/>
        </w:rPr>
      </w:pPr>
      <w:r w:rsidRPr="005F4B5A">
        <w:rPr>
          <w:rFonts w:cs="Calibri"/>
          <w:b/>
          <w:bCs/>
          <w:color w:val="0000FF"/>
          <w:sz w:val="18"/>
        </w:rPr>
        <w:t>The study should consider applicability of use cases equivalent to those in 4G, i.e. open mode, closed mode, hybrid mode. Definitions of open mode, closed mode, hybrid mode for the NG-RAN are FFS</w:t>
      </w:r>
    </w:p>
    <w:p w:rsidR="00CF469D" w:rsidRDefault="00CF469D" w:rsidP="00A6083E">
      <w:pPr>
        <w:pStyle w:val="1"/>
        <w:numPr>
          <w:ilvl w:val="0"/>
          <w:numId w:val="12"/>
        </w:numPr>
        <w:tabs>
          <w:tab w:val="left" w:pos="432"/>
        </w:tabs>
        <w:spacing w:line="276" w:lineRule="auto"/>
        <w:rPr>
          <w:b/>
        </w:rPr>
      </w:pPr>
      <w:r>
        <w:rPr>
          <w:b/>
        </w:rPr>
        <w:t>Discussion</w:t>
      </w:r>
      <w:r w:rsidR="00A6083E">
        <w:rPr>
          <w:b/>
        </w:rPr>
        <w:t xml:space="preserve"> on </w:t>
      </w:r>
      <w:r w:rsidR="001E630F">
        <w:rPr>
          <w:b/>
        </w:rPr>
        <w:t>Access modes of NR</w:t>
      </w:r>
      <w:r w:rsidR="00A6083E">
        <w:rPr>
          <w:b/>
        </w:rPr>
        <w:t xml:space="preserve"> </w:t>
      </w:r>
      <w:proofErr w:type="spellStart"/>
      <w:r w:rsidR="00A6083E">
        <w:rPr>
          <w:b/>
        </w:rPr>
        <w:t>Femto</w:t>
      </w:r>
      <w:proofErr w:type="spellEnd"/>
      <w:r w:rsidR="00A6083E">
        <w:rPr>
          <w:b/>
        </w:rPr>
        <w:t xml:space="preserve"> </w:t>
      </w:r>
    </w:p>
    <w:p w:rsidR="00EB39FB" w:rsidRDefault="00EB39FB" w:rsidP="0057148A">
      <w:r>
        <w:rPr>
          <w:rFonts w:hint="eastAsia"/>
        </w:rPr>
        <w:t>I</w:t>
      </w:r>
      <w:r>
        <w:t>n 4G, there are three access mode, i.e. open mode, closed mode, hybrid mode, by using CSG mechanism. In 5G, we have CAG mechanism in PNI-NPN which can be reused to archive the similar access control function.</w:t>
      </w:r>
    </w:p>
    <w:p w:rsidR="0057148A" w:rsidRPr="0057148A" w:rsidRDefault="00F61C42" w:rsidP="0057148A">
      <w:pPr>
        <w:spacing w:afterLines="50"/>
        <w:rPr>
          <w:lang w:val="en-US"/>
        </w:rPr>
      </w:pPr>
      <w:r>
        <w:rPr>
          <w:lang w:val="en-US"/>
        </w:rPr>
        <w:t xml:space="preserve">We </w:t>
      </w:r>
      <w:r w:rsidR="00827673">
        <w:rPr>
          <w:lang w:val="en-US"/>
        </w:rPr>
        <w:t xml:space="preserve">could </w:t>
      </w:r>
      <w:r>
        <w:rPr>
          <w:lang w:val="en-US"/>
        </w:rPr>
        <w:t xml:space="preserve">implement </w:t>
      </w:r>
      <w:r w:rsidR="0057148A" w:rsidRPr="0057148A">
        <w:rPr>
          <w:lang w:val="en-US"/>
        </w:rPr>
        <w:t xml:space="preserve">three access </w:t>
      </w:r>
      <w:r w:rsidR="00827673">
        <w:rPr>
          <w:lang w:val="en-US"/>
        </w:rPr>
        <w:t xml:space="preserve">control </w:t>
      </w:r>
      <w:r w:rsidR="0057148A" w:rsidRPr="0057148A">
        <w:rPr>
          <w:lang w:val="en-US"/>
        </w:rPr>
        <w:t xml:space="preserve">modes </w:t>
      </w:r>
      <w:r>
        <w:rPr>
          <w:lang w:val="en-US"/>
        </w:rPr>
        <w:t>by using CAG ID</w:t>
      </w:r>
      <w:r w:rsidR="00827673">
        <w:rPr>
          <w:lang w:val="en-US"/>
        </w:rPr>
        <w:t xml:space="preserve"> as follows</w:t>
      </w:r>
      <w:r w:rsidR="0057148A" w:rsidRPr="0057148A">
        <w:rPr>
          <w:lang w:val="en-US"/>
        </w:rPr>
        <w:t>:</w:t>
      </w:r>
    </w:p>
    <w:p w:rsidR="0019388B" w:rsidRPr="004C5BFE" w:rsidRDefault="0057148A" w:rsidP="004C5BFE">
      <w:pPr>
        <w:pStyle w:val="af7"/>
        <w:widowControl/>
        <w:numPr>
          <w:ilvl w:val="0"/>
          <w:numId w:val="27"/>
        </w:numPr>
        <w:overflowPunct w:val="0"/>
        <w:autoSpaceDE w:val="0"/>
        <w:autoSpaceDN w:val="0"/>
        <w:adjustRightInd w:val="0"/>
        <w:spacing w:after="120" w:line="288" w:lineRule="auto"/>
        <w:ind w:left="357" w:firstLineChars="0" w:hanging="357"/>
        <w:jc w:val="left"/>
        <w:textAlignment w:val="baseline"/>
        <w:rPr>
          <w:rFonts w:ascii="Times New Roman" w:hAnsi="Times New Roman"/>
          <w:b/>
        </w:rPr>
      </w:pPr>
      <w:r w:rsidRPr="004C5BFE">
        <w:rPr>
          <w:rFonts w:ascii="Times New Roman" w:hAnsi="Times New Roman"/>
          <w:b/>
        </w:rPr>
        <w:t>Open access mode</w:t>
      </w:r>
      <w:r w:rsidRPr="004C5BFE">
        <w:rPr>
          <w:rFonts w:ascii="Times New Roman" w:hAnsi="Times New Roman"/>
        </w:rPr>
        <w:t xml:space="preserve">: </w:t>
      </w:r>
      <w:r w:rsidR="00D13CC1" w:rsidRPr="004C5BFE">
        <w:rPr>
          <w:rFonts w:ascii="Times New Roman" w:hAnsi="Times New Roman"/>
        </w:rPr>
        <w:t xml:space="preserve">If a cell belonged to a </w:t>
      </w:r>
      <w:r w:rsidR="005B28E3" w:rsidRPr="004C5BFE">
        <w:rPr>
          <w:rFonts w:ascii="Times New Roman" w:hAnsi="Times New Roman"/>
        </w:rPr>
        <w:t xml:space="preserve">NR </w:t>
      </w:r>
      <w:proofErr w:type="spellStart"/>
      <w:r w:rsidR="005B28E3" w:rsidRPr="004C5BFE">
        <w:rPr>
          <w:rFonts w:ascii="Times New Roman" w:hAnsi="Times New Roman"/>
        </w:rPr>
        <w:t>Femto</w:t>
      </w:r>
      <w:proofErr w:type="spellEnd"/>
      <w:r w:rsidR="005B28E3" w:rsidRPr="004C5BFE">
        <w:rPr>
          <w:rFonts w:ascii="Times New Roman" w:hAnsi="Times New Roman"/>
        </w:rPr>
        <w:t xml:space="preserve"> node send</w:t>
      </w:r>
      <w:r w:rsidR="0019388B" w:rsidRPr="004C5BFE">
        <w:rPr>
          <w:rFonts w:ascii="Times New Roman" w:hAnsi="Times New Roman"/>
        </w:rPr>
        <w:t>s</w:t>
      </w:r>
      <w:r w:rsidR="005B28E3" w:rsidRPr="004C5BFE">
        <w:rPr>
          <w:rFonts w:ascii="Times New Roman" w:hAnsi="Times New Roman"/>
        </w:rPr>
        <w:t xml:space="preserve"> the SIB1 message</w:t>
      </w:r>
      <w:r w:rsidR="00635C55" w:rsidRPr="004C5BFE">
        <w:rPr>
          <w:rFonts w:ascii="Times New Roman" w:hAnsi="Times New Roman"/>
        </w:rPr>
        <w:t xml:space="preserve"> </w:t>
      </w:r>
      <w:r w:rsidR="0019388B" w:rsidRPr="004C5BFE">
        <w:rPr>
          <w:rFonts w:ascii="Times New Roman" w:hAnsi="Times New Roman"/>
        </w:rPr>
        <w:t>which contains the PLMN-</w:t>
      </w:r>
      <w:proofErr w:type="spellStart"/>
      <w:r w:rsidR="0019388B" w:rsidRPr="004C5BFE">
        <w:rPr>
          <w:rFonts w:ascii="Times New Roman" w:hAnsi="Times New Roman"/>
        </w:rPr>
        <w:t>IdentityInfoList</w:t>
      </w:r>
      <w:proofErr w:type="spellEnd"/>
      <w:r w:rsidR="0019388B" w:rsidRPr="004C5BFE">
        <w:rPr>
          <w:rFonts w:ascii="Times New Roman" w:hAnsi="Times New Roman"/>
        </w:rPr>
        <w:t xml:space="preserve"> but not the NPN-IdentityInfoList-r16 IE in </w:t>
      </w:r>
      <w:proofErr w:type="spellStart"/>
      <w:r w:rsidR="0019388B" w:rsidRPr="004C5BFE">
        <w:rPr>
          <w:rFonts w:ascii="Times New Roman" w:hAnsi="Times New Roman"/>
        </w:rPr>
        <w:t>cellAccessRelatedInfo</w:t>
      </w:r>
      <w:proofErr w:type="spellEnd"/>
      <w:r w:rsidR="0019388B" w:rsidRPr="004C5BFE">
        <w:rPr>
          <w:rFonts w:ascii="Times New Roman" w:hAnsi="Times New Roman"/>
        </w:rPr>
        <w:t xml:space="preserve"> IE, it </w:t>
      </w:r>
      <w:r w:rsidR="00D13CC1" w:rsidRPr="004C5BFE">
        <w:rPr>
          <w:rFonts w:ascii="Times New Roman" w:hAnsi="Times New Roman"/>
        </w:rPr>
        <w:t xml:space="preserve">can </w:t>
      </w:r>
      <w:r w:rsidR="0019388B" w:rsidRPr="004C5BFE">
        <w:rPr>
          <w:rFonts w:ascii="Times New Roman" w:hAnsi="Times New Roman"/>
        </w:rPr>
        <w:t xml:space="preserve">indicate that the cell </w:t>
      </w:r>
      <w:r w:rsidR="00D13CC1" w:rsidRPr="004C5BFE">
        <w:rPr>
          <w:rFonts w:ascii="Times New Roman" w:hAnsi="Times New Roman"/>
        </w:rPr>
        <w:t>is</w:t>
      </w:r>
      <w:r w:rsidR="0019388B" w:rsidRPr="004C5BFE">
        <w:rPr>
          <w:rFonts w:ascii="Times New Roman" w:hAnsi="Times New Roman"/>
        </w:rPr>
        <w:t xml:space="preserve"> open for all UE access.</w:t>
      </w:r>
    </w:p>
    <w:p w:rsidR="00B631A3" w:rsidRPr="004C5BFE" w:rsidRDefault="0019388B" w:rsidP="004C5BFE">
      <w:pPr>
        <w:pStyle w:val="af7"/>
        <w:widowControl/>
        <w:numPr>
          <w:ilvl w:val="0"/>
          <w:numId w:val="27"/>
        </w:numPr>
        <w:overflowPunct w:val="0"/>
        <w:autoSpaceDE w:val="0"/>
        <w:autoSpaceDN w:val="0"/>
        <w:adjustRightInd w:val="0"/>
        <w:spacing w:after="120" w:line="288" w:lineRule="auto"/>
        <w:ind w:left="357" w:firstLineChars="0" w:hanging="357"/>
        <w:jc w:val="left"/>
        <w:textAlignment w:val="baseline"/>
        <w:rPr>
          <w:rFonts w:ascii="Times New Roman" w:hAnsi="Times New Roman"/>
          <w:b/>
        </w:rPr>
      </w:pPr>
      <w:r w:rsidRPr="004C5BFE">
        <w:rPr>
          <w:rFonts w:ascii="Times New Roman" w:hAnsi="Times New Roman"/>
          <w:b/>
        </w:rPr>
        <w:t>Closed access mode</w:t>
      </w:r>
      <w:r w:rsidRPr="004C5BFE">
        <w:rPr>
          <w:rFonts w:ascii="Times New Roman" w:hAnsi="Times New Roman"/>
        </w:rPr>
        <w:t>:</w:t>
      </w:r>
      <w:r w:rsidR="00681AC6" w:rsidRPr="004C5BFE">
        <w:rPr>
          <w:rFonts w:ascii="Times New Roman" w:hAnsi="Times New Roman"/>
        </w:rPr>
        <w:t xml:space="preserve"> </w:t>
      </w:r>
      <w:r w:rsidR="00B631A3" w:rsidRPr="004C5BFE">
        <w:rPr>
          <w:rFonts w:ascii="Times New Roman" w:hAnsi="Times New Roman"/>
        </w:rPr>
        <w:t>If a cell sends the SIB1 message which contains the PLMN-</w:t>
      </w:r>
      <w:proofErr w:type="spellStart"/>
      <w:r w:rsidR="00B631A3" w:rsidRPr="004C5BFE">
        <w:rPr>
          <w:rFonts w:ascii="Times New Roman" w:hAnsi="Times New Roman"/>
        </w:rPr>
        <w:t>IdentityInfoList</w:t>
      </w:r>
      <w:proofErr w:type="spellEnd"/>
      <w:r w:rsidR="00020760" w:rsidRPr="004C5BFE">
        <w:rPr>
          <w:rFonts w:ascii="Times New Roman" w:hAnsi="Times New Roman"/>
        </w:rPr>
        <w:t xml:space="preserve">, </w:t>
      </w:r>
      <w:r w:rsidR="00B631A3" w:rsidRPr="004C5BFE">
        <w:rPr>
          <w:rFonts w:ascii="Times New Roman" w:hAnsi="Times New Roman"/>
        </w:rPr>
        <w:t>NPN-IdentityInfoList-r16</w:t>
      </w:r>
      <w:r w:rsidR="00020760" w:rsidRPr="004C5BFE">
        <w:rPr>
          <w:rFonts w:ascii="Times New Roman" w:hAnsi="Times New Roman"/>
        </w:rPr>
        <w:t xml:space="preserve">, </w:t>
      </w:r>
      <w:proofErr w:type="spellStart"/>
      <w:r w:rsidR="00020760" w:rsidRPr="004C5BFE">
        <w:rPr>
          <w:rFonts w:ascii="Times New Roman" w:hAnsi="Times New Roman"/>
        </w:rPr>
        <w:t>cellReservedForOtherUse</w:t>
      </w:r>
      <w:proofErr w:type="spellEnd"/>
      <w:r w:rsidR="00020760" w:rsidRPr="004C5BFE">
        <w:rPr>
          <w:rFonts w:ascii="Times New Roman" w:hAnsi="Times New Roman"/>
        </w:rPr>
        <w:t>=true</w:t>
      </w:r>
      <w:r w:rsidR="00B631A3" w:rsidRPr="004C5BFE">
        <w:rPr>
          <w:rFonts w:ascii="Times New Roman" w:hAnsi="Times New Roman"/>
        </w:rPr>
        <w:t xml:space="preserve"> IE</w:t>
      </w:r>
      <w:r w:rsidR="00203410" w:rsidRPr="004C5BFE">
        <w:rPr>
          <w:rFonts w:ascii="Times New Roman" w:hAnsi="Times New Roman"/>
        </w:rPr>
        <w:t>s</w:t>
      </w:r>
      <w:r w:rsidR="00B631A3" w:rsidRPr="004C5BFE">
        <w:rPr>
          <w:rFonts w:ascii="Times New Roman" w:hAnsi="Times New Roman"/>
        </w:rPr>
        <w:t xml:space="preserve"> in </w:t>
      </w:r>
      <w:proofErr w:type="spellStart"/>
      <w:r w:rsidR="00B631A3" w:rsidRPr="004C5BFE">
        <w:rPr>
          <w:rFonts w:ascii="Times New Roman" w:hAnsi="Times New Roman"/>
        </w:rPr>
        <w:t>cellAccessRelatedInfo</w:t>
      </w:r>
      <w:proofErr w:type="spellEnd"/>
      <w:r w:rsidR="00B631A3" w:rsidRPr="004C5BFE">
        <w:rPr>
          <w:rFonts w:ascii="Times New Roman" w:hAnsi="Times New Roman"/>
        </w:rPr>
        <w:t xml:space="preserve"> IE, it can indicate that the cell is a closed cell and not allow the public UE access, only for the UE</w:t>
      </w:r>
      <w:r w:rsidR="00C201DC" w:rsidRPr="004C5BFE">
        <w:rPr>
          <w:rFonts w:ascii="Times New Roman" w:hAnsi="Times New Roman"/>
        </w:rPr>
        <w:t xml:space="preserve">s </w:t>
      </w:r>
      <w:r w:rsidR="00B631A3" w:rsidRPr="004C5BFE">
        <w:rPr>
          <w:rFonts w:ascii="Times New Roman" w:hAnsi="Times New Roman"/>
        </w:rPr>
        <w:t xml:space="preserve">which </w:t>
      </w:r>
      <w:r w:rsidR="00C201DC" w:rsidRPr="004C5BFE">
        <w:rPr>
          <w:rFonts w:ascii="Times New Roman" w:hAnsi="Times New Roman"/>
        </w:rPr>
        <w:t>are members of the CAG network to access</w:t>
      </w:r>
      <w:r w:rsidR="00B631A3" w:rsidRPr="004C5BFE">
        <w:rPr>
          <w:rFonts w:ascii="Times New Roman" w:hAnsi="Times New Roman"/>
        </w:rPr>
        <w:t>.</w:t>
      </w:r>
    </w:p>
    <w:p w:rsidR="009D0EBF" w:rsidRPr="004C5BFE" w:rsidRDefault="0057148A" w:rsidP="004C5BFE">
      <w:pPr>
        <w:pStyle w:val="af7"/>
        <w:widowControl/>
        <w:numPr>
          <w:ilvl w:val="0"/>
          <w:numId w:val="27"/>
        </w:numPr>
        <w:overflowPunct w:val="0"/>
        <w:autoSpaceDE w:val="0"/>
        <w:autoSpaceDN w:val="0"/>
        <w:adjustRightInd w:val="0"/>
        <w:spacing w:after="120" w:line="288" w:lineRule="auto"/>
        <w:ind w:left="357" w:firstLineChars="0" w:hanging="357"/>
        <w:jc w:val="left"/>
        <w:textAlignment w:val="baseline"/>
        <w:rPr>
          <w:rFonts w:ascii="Times New Roman" w:hAnsi="Times New Roman"/>
          <w:b/>
        </w:rPr>
      </w:pPr>
      <w:r w:rsidRPr="004C5BFE">
        <w:rPr>
          <w:rFonts w:ascii="Times New Roman" w:hAnsi="Times New Roman"/>
          <w:b/>
        </w:rPr>
        <w:t>Hybrid access mode</w:t>
      </w:r>
      <w:r w:rsidRPr="004C5BFE">
        <w:rPr>
          <w:rFonts w:ascii="Times New Roman" w:hAnsi="Times New Roman"/>
        </w:rPr>
        <w:t>:</w:t>
      </w:r>
      <w:r w:rsidR="006C4283" w:rsidRPr="004C5BFE">
        <w:rPr>
          <w:rFonts w:ascii="Times New Roman" w:hAnsi="Times New Roman"/>
        </w:rPr>
        <w:t xml:space="preserve"> </w:t>
      </w:r>
      <w:r w:rsidR="009D0EBF" w:rsidRPr="004C5BFE">
        <w:rPr>
          <w:rFonts w:ascii="Times New Roman" w:hAnsi="Times New Roman"/>
        </w:rPr>
        <w:t>If a cell sends the SIB1 message which contains the PLMN-</w:t>
      </w:r>
      <w:proofErr w:type="spellStart"/>
      <w:r w:rsidR="009D0EBF" w:rsidRPr="004C5BFE">
        <w:rPr>
          <w:rFonts w:ascii="Times New Roman" w:hAnsi="Times New Roman"/>
        </w:rPr>
        <w:t>IdentityInfoList</w:t>
      </w:r>
      <w:proofErr w:type="spellEnd"/>
      <w:r w:rsidR="009D0EBF" w:rsidRPr="004C5BFE">
        <w:rPr>
          <w:rFonts w:ascii="Times New Roman" w:hAnsi="Times New Roman"/>
        </w:rPr>
        <w:t>, NPN-IdentityInfoList-r16</w:t>
      </w:r>
      <w:r w:rsidR="00D742CB" w:rsidRPr="004C5BFE">
        <w:rPr>
          <w:rFonts w:ascii="Times New Roman" w:hAnsi="Times New Roman"/>
        </w:rPr>
        <w:t xml:space="preserve"> </w:t>
      </w:r>
      <w:r w:rsidR="009D0EBF" w:rsidRPr="004C5BFE">
        <w:rPr>
          <w:rFonts w:ascii="Times New Roman" w:hAnsi="Times New Roman"/>
        </w:rPr>
        <w:t xml:space="preserve">in </w:t>
      </w:r>
      <w:proofErr w:type="spellStart"/>
      <w:r w:rsidR="009D0EBF" w:rsidRPr="004C5BFE">
        <w:rPr>
          <w:rFonts w:ascii="Times New Roman" w:hAnsi="Times New Roman"/>
        </w:rPr>
        <w:t>cellAccessRelatedInfo</w:t>
      </w:r>
      <w:proofErr w:type="spellEnd"/>
      <w:r w:rsidR="009D0EBF" w:rsidRPr="004C5BFE">
        <w:rPr>
          <w:rFonts w:ascii="Times New Roman" w:hAnsi="Times New Roman"/>
        </w:rPr>
        <w:t xml:space="preserve"> IE, it can indicate that the cell is a </w:t>
      </w:r>
      <w:r w:rsidR="00D742CB" w:rsidRPr="004C5BFE">
        <w:rPr>
          <w:rFonts w:ascii="Times New Roman" w:hAnsi="Times New Roman"/>
        </w:rPr>
        <w:t>hybrid</w:t>
      </w:r>
      <w:r w:rsidR="009D0EBF" w:rsidRPr="004C5BFE">
        <w:rPr>
          <w:rFonts w:ascii="Times New Roman" w:hAnsi="Times New Roman"/>
        </w:rPr>
        <w:t xml:space="preserve"> cell and allow </w:t>
      </w:r>
      <w:r w:rsidR="00D742CB" w:rsidRPr="004C5BFE">
        <w:rPr>
          <w:rFonts w:ascii="Times New Roman" w:hAnsi="Times New Roman"/>
        </w:rPr>
        <w:t xml:space="preserve">both </w:t>
      </w:r>
      <w:r w:rsidR="009D0EBF" w:rsidRPr="004C5BFE">
        <w:rPr>
          <w:rFonts w:ascii="Times New Roman" w:hAnsi="Times New Roman"/>
        </w:rPr>
        <w:t xml:space="preserve">the UEs which are members of the CAG network </w:t>
      </w:r>
      <w:r w:rsidR="00D742CB" w:rsidRPr="004C5BFE">
        <w:rPr>
          <w:rFonts w:ascii="Times New Roman" w:hAnsi="Times New Roman"/>
        </w:rPr>
        <w:t xml:space="preserve">and other public UEs </w:t>
      </w:r>
      <w:r w:rsidR="009D0EBF" w:rsidRPr="004C5BFE">
        <w:rPr>
          <w:rFonts w:ascii="Times New Roman" w:hAnsi="Times New Roman"/>
        </w:rPr>
        <w:t>to access.</w:t>
      </w:r>
    </w:p>
    <w:p w:rsidR="00860F4D" w:rsidRDefault="00860F4D" w:rsidP="00796822">
      <w:pPr>
        <w:spacing w:before="240"/>
      </w:pPr>
      <w:r>
        <w:rPr>
          <w:rFonts w:hint="eastAsia"/>
        </w:rPr>
        <w:t>A</w:t>
      </w:r>
      <w:r>
        <w:t xml:space="preserve">ccording to above analysis, reusing the CAG mechanism could implement </w:t>
      </w:r>
      <w:r w:rsidRPr="00860F4D">
        <w:t xml:space="preserve">applicability of use cases equivalent to </w:t>
      </w:r>
      <w:r>
        <w:rPr>
          <w:rFonts w:hint="eastAsia"/>
        </w:rPr>
        <w:t>using</w:t>
      </w:r>
      <w:r>
        <w:t xml:space="preserve"> </w:t>
      </w:r>
      <w:r>
        <w:rPr>
          <w:rFonts w:hint="eastAsia"/>
        </w:rPr>
        <w:t>CSG</w:t>
      </w:r>
      <w:r w:rsidRPr="00860F4D">
        <w:t xml:space="preserve"> in 4G</w:t>
      </w:r>
      <w:r>
        <w:t>.</w:t>
      </w:r>
    </w:p>
    <w:p w:rsidR="004C5BFE" w:rsidRDefault="004C5BFE" w:rsidP="00796822">
      <w:pPr>
        <w:spacing w:before="240"/>
      </w:pPr>
    </w:p>
    <w:p w:rsidR="00860F4D" w:rsidRPr="004C5BFE" w:rsidRDefault="00860F4D" w:rsidP="004C5BFE">
      <w:pPr>
        <w:rPr>
          <w:b/>
          <w:bCs/>
        </w:rPr>
      </w:pPr>
      <w:r w:rsidRPr="004C5BFE">
        <w:rPr>
          <w:b/>
          <w:bCs/>
        </w:rPr>
        <w:t xml:space="preserve">Observation:  </w:t>
      </w:r>
      <w:r w:rsidR="004C5BFE">
        <w:rPr>
          <w:b/>
          <w:bCs/>
        </w:rPr>
        <w:t>R</w:t>
      </w:r>
      <w:r w:rsidRPr="004C5BFE">
        <w:rPr>
          <w:b/>
          <w:bCs/>
        </w:rPr>
        <w:t xml:space="preserve">eusing the CAG mechanism could implement applicability of use cases equivalent to </w:t>
      </w:r>
      <w:r w:rsidRPr="004C5BFE">
        <w:rPr>
          <w:rFonts w:hint="eastAsia"/>
          <w:b/>
          <w:bCs/>
        </w:rPr>
        <w:t>using</w:t>
      </w:r>
      <w:r w:rsidRPr="004C5BFE">
        <w:rPr>
          <w:b/>
          <w:bCs/>
        </w:rPr>
        <w:t xml:space="preserve"> </w:t>
      </w:r>
      <w:r w:rsidRPr="004C5BFE">
        <w:rPr>
          <w:rFonts w:hint="eastAsia"/>
          <w:b/>
          <w:bCs/>
        </w:rPr>
        <w:t>CSG</w:t>
      </w:r>
      <w:r w:rsidRPr="004C5BFE">
        <w:rPr>
          <w:b/>
          <w:bCs/>
        </w:rPr>
        <w:t xml:space="preserve"> in 4G.</w:t>
      </w:r>
    </w:p>
    <w:p w:rsidR="00860F4D" w:rsidRDefault="00860F4D" w:rsidP="00860F4D">
      <w:pPr>
        <w:spacing w:before="240"/>
      </w:pPr>
    </w:p>
    <w:p w:rsidR="00860F4D" w:rsidRDefault="00860F4D" w:rsidP="00860F4D">
      <w:pPr>
        <w:pStyle w:val="1"/>
        <w:numPr>
          <w:ilvl w:val="0"/>
          <w:numId w:val="12"/>
        </w:numPr>
        <w:tabs>
          <w:tab w:val="left" w:pos="432"/>
        </w:tabs>
        <w:spacing w:line="276" w:lineRule="auto"/>
        <w:rPr>
          <w:b/>
        </w:rPr>
      </w:pPr>
      <w:r>
        <w:rPr>
          <w:b/>
        </w:rPr>
        <w:lastRenderedPageBreak/>
        <w:t xml:space="preserve">Discussion on Access </w:t>
      </w:r>
      <w:r>
        <w:rPr>
          <w:rFonts w:hint="eastAsia"/>
          <w:b/>
        </w:rPr>
        <w:t>Control</w:t>
      </w:r>
      <w:r>
        <w:rPr>
          <w:b/>
        </w:rPr>
        <w:t xml:space="preserve"> </w:t>
      </w:r>
      <w:r w:rsidR="00544D32">
        <w:rPr>
          <w:b/>
        </w:rPr>
        <w:t>for</w:t>
      </w:r>
      <w:r>
        <w:rPr>
          <w:b/>
        </w:rPr>
        <w:t xml:space="preserve"> NR </w:t>
      </w:r>
      <w:proofErr w:type="spellStart"/>
      <w:r>
        <w:rPr>
          <w:b/>
        </w:rPr>
        <w:t>Femto</w:t>
      </w:r>
      <w:proofErr w:type="spellEnd"/>
      <w:r>
        <w:rPr>
          <w:b/>
        </w:rPr>
        <w:t xml:space="preserve"> </w:t>
      </w:r>
    </w:p>
    <w:p w:rsidR="00FA01FD" w:rsidRDefault="007E5076" w:rsidP="009E3CB9">
      <w:pPr>
        <w:spacing w:before="240"/>
      </w:pPr>
      <w:r w:rsidRPr="009E3CB9">
        <w:t xml:space="preserve">When the UE establishes the connection via the 5G </w:t>
      </w:r>
      <w:proofErr w:type="spellStart"/>
      <w:r w:rsidRPr="009E3CB9">
        <w:t>Femto</w:t>
      </w:r>
      <w:proofErr w:type="spellEnd"/>
      <w:r w:rsidRPr="009E3CB9">
        <w:t>, a control of this access must take place.</w:t>
      </w:r>
      <w:r w:rsidR="00003F08">
        <w:t xml:space="preserve"> In 4G, </w:t>
      </w:r>
      <w:r w:rsidR="00FA01FD">
        <w:t xml:space="preserve">the MME takes the responsibility of access control for CSG UEs which is specified in TS 36.300, as follows: </w:t>
      </w:r>
    </w:p>
    <w:tbl>
      <w:tblPr>
        <w:tblStyle w:val="af0"/>
        <w:tblW w:w="0" w:type="auto"/>
        <w:tblLook w:val="04A0" w:firstRow="1" w:lastRow="0" w:firstColumn="1" w:lastColumn="0" w:noHBand="0" w:noVBand="1"/>
      </w:tblPr>
      <w:tblGrid>
        <w:gridCol w:w="9629"/>
      </w:tblGrid>
      <w:tr w:rsidR="00FA01FD" w:rsidTr="00FA01FD">
        <w:tc>
          <w:tcPr>
            <w:tcW w:w="9629" w:type="dxa"/>
          </w:tcPr>
          <w:p w:rsidR="00FA01FD" w:rsidRDefault="00FA01FD" w:rsidP="00FA01FD">
            <w:r>
              <w:rPr>
                <w:rFonts w:hint="eastAsia"/>
              </w:rPr>
              <w:t>T</w:t>
            </w:r>
            <w:r>
              <w:t>S 36.300</w:t>
            </w:r>
          </w:p>
          <w:p w:rsidR="00FA01FD" w:rsidRPr="00BD5796" w:rsidRDefault="00FA01FD" w:rsidP="00FA01FD">
            <w:pPr>
              <w:rPr>
                <w:i/>
              </w:rPr>
            </w:pPr>
            <w:r w:rsidRPr="00BD5796">
              <w:rPr>
                <w:i/>
              </w:rPr>
              <w:t>In addition to functions specified in clause 4.1, the MME hosts the following functions:</w:t>
            </w:r>
          </w:p>
          <w:p w:rsidR="00FA01FD" w:rsidRPr="00BD5796" w:rsidRDefault="00FA01FD" w:rsidP="00FA01FD">
            <w:pPr>
              <w:pStyle w:val="B10"/>
              <w:rPr>
                <w:i/>
              </w:rPr>
            </w:pPr>
            <w:r w:rsidRPr="00BD5796">
              <w:rPr>
                <w:i/>
              </w:rPr>
              <w:t>-</w:t>
            </w:r>
            <w:r w:rsidRPr="00BD5796">
              <w:rPr>
                <w:i/>
              </w:rPr>
              <w:tab/>
              <w:t>Access control for UEs that are members of Closed Subscriber Groups (CSG):</w:t>
            </w:r>
          </w:p>
          <w:p w:rsidR="00FA01FD" w:rsidRPr="00BD5796" w:rsidRDefault="00FA01FD" w:rsidP="00FA01FD">
            <w:pPr>
              <w:pStyle w:val="B2"/>
              <w:rPr>
                <w:i/>
              </w:rPr>
            </w:pPr>
            <w:r w:rsidRPr="00BD5796">
              <w:rPr>
                <w:i/>
              </w:rPr>
              <w:t>-</w:t>
            </w:r>
            <w:r w:rsidRPr="00BD5796">
              <w:rPr>
                <w:i/>
              </w:rPr>
              <w:tab/>
              <w:t>In case of handovers to CSG cells, access control is based on the target CSG ID of the selected target PLMN provided to the MME by the serving E-UTRAN (see TS 23.401 [17]).</w:t>
            </w:r>
          </w:p>
          <w:p w:rsidR="00FA01FD" w:rsidRPr="00BD5796" w:rsidRDefault="00FA01FD" w:rsidP="00FA01FD">
            <w:pPr>
              <w:pStyle w:val="B10"/>
              <w:rPr>
                <w:i/>
              </w:rPr>
            </w:pPr>
            <w:r w:rsidRPr="00BD5796">
              <w:rPr>
                <w:i/>
              </w:rPr>
              <w:t>-</w:t>
            </w:r>
            <w:r w:rsidRPr="00BD5796">
              <w:rPr>
                <w:i/>
              </w:rPr>
              <w:tab/>
              <w:t>Membership Verification for UEs handing over to hybrid cells:</w:t>
            </w:r>
          </w:p>
          <w:p w:rsidR="00FA01FD" w:rsidRPr="00BD5796" w:rsidRDefault="00FA01FD" w:rsidP="00FA01FD">
            <w:pPr>
              <w:pStyle w:val="B2"/>
              <w:rPr>
                <w:i/>
                <w:lang w:eastAsia="zh-CN"/>
              </w:rPr>
            </w:pPr>
            <w:r w:rsidRPr="00BD5796">
              <w:rPr>
                <w:i/>
              </w:rPr>
              <w:t>-</w:t>
            </w:r>
            <w:r w:rsidRPr="00BD5796">
              <w:rPr>
                <w:i/>
              </w:rPr>
              <w:tab/>
              <w:t>In case of handovers to hybrid cells the MME performs Membership Verification based on UE's selected target PLMN, cell access mode related information and the CSG ID of the target cell provided by the source E-UTRAN in S1 handover, or provided by the target E-UTRAN in X2 handover (see TS 23.401 [17]).</w:t>
            </w:r>
          </w:p>
          <w:p w:rsidR="003012CF" w:rsidRPr="00BD5796" w:rsidRDefault="003012CF" w:rsidP="003012CF">
            <w:pPr>
              <w:pStyle w:val="B10"/>
              <w:rPr>
                <w:rFonts w:asciiTheme="minorEastAsia" w:eastAsiaTheme="minorEastAsia" w:hAnsiTheme="minorEastAsia"/>
                <w:i/>
                <w:lang w:eastAsia="zh-CN"/>
              </w:rPr>
            </w:pPr>
            <w:r w:rsidRPr="00BD5796">
              <w:rPr>
                <w:rFonts w:asciiTheme="minorEastAsia" w:eastAsiaTheme="minorEastAsia" w:hAnsiTheme="minorEastAsia"/>
                <w:i/>
                <w:lang w:eastAsia="zh-CN"/>
              </w:rPr>
              <w:t>……</w:t>
            </w:r>
          </w:p>
          <w:p w:rsidR="003012CF" w:rsidRPr="00BD5796" w:rsidRDefault="003012CF" w:rsidP="003012CF">
            <w:pPr>
              <w:pStyle w:val="B10"/>
              <w:rPr>
                <w:i/>
              </w:rPr>
            </w:pPr>
            <w:r w:rsidRPr="00BD5796">
              <w:rPr>
                <w:rFonts w:asciiTheme="minorEastAsia" w:eastAsiaTheme="minorEastAsia" w:hAnsiTheme="minorEastAsia"/>
                <w:i/>
                <w:lang w:eastAsia="zh-CN"/>
              </w:rPr>
              <w:t>……</w:t>
            </w:r>
          </w:p>
          <w:p w:rsidR="00FA01FD" w:rsidRDefault="00FA01FD" w:rsidP="003012CF">
            <w:pPr>
              <w:pStyle w:val="B10"/>
            </w:pPr>
            <w:r w:rsidRPr="00BD5796">
              <w:rPr>
                <w:i/>
              </w:rPr>
              <w:t>-</w:t>
            </w:r>
            <w:r w:rsidRPr="00BD5796">
              <w:rPr>
                <w:i/>
              </w:rPr>
              <w:tab/>
              <w:t xml:space="preserve">verifying as defined in TS 33.320 [53], for a closed </w:t>
            </w:r>
            <w:proofErr w:type="spellStart"/>
            <w:r w:rsidRPr="00BD5796">
              <w:rPr>
                <w:i/>
              </w:rPr>
              <w:t>HeNB</w:t>
            </w:r>
            <w:proofErr w:type="spellEnd"/>
            <w:r w:rsidRPr="00BD5796">
              <w:rPr>
                <w:i/>
              </w:rPr>
              <w:t xml:space="preserve">, that the indicated cell access mode and CSG ID are valid when receiving the S1 INITIAL UE MESSAGE </w:t>
            </w:r>
            <w:proofErr w:type="spellStart"/>
            <w:r w:rsidRPr="00BD5796">
              <w:rPr>
                <w:i/>
              </w:rPr>
              <w:t>message</w:t>
            </w:r>
            <w:proofErr w:type="spellEnd"/>
            <w:r w:rsidRPr="00BD5796">
              <w:rPr>
                <w:i/>
              </w:rPr>
              <w:t>, the S1 PATH SWITCH REQUEST and the S1 HANDOVER REQUEST ACKNOWLEDGE message;</w:t>
            </w:r>
          </w:p>
        </w:tc>
      </w:tr>
    </w:tbl>
    <w:p w:rsidR="00BD5796" w:rsidRPr="009E3CB9" w:rsidRDefault="0098023E" w:rsidP="00BD5796">
      <w:pPr>
        <w:spacing w:before="240"/>
      </w:pPr>
      <w:r>
        <w:rPr>
          <w:rFonts w:hint="eastAsia"/>
        </w:rPr>
        <w:t>Following</w:t>
      </w:r>
      <w:r>
        <w:t xml:space="preserve"> </w:t>
      </w:r>
      <w:r>
        <w:rPr>
          <w:rFonts w:hint="eastAsia"/>
        </w:rPr>
        <w:t>the</w:t>
      </w:r>
      <w:r>
        <w:t xml:space="preserve"> </w:t>
      </w:r>
      <w:r>
        <w:rPr>
          <w:rFonts w:hint="eastAsia"/>
        </w:rPr>
        <w:t>similar</w:t>
      </w:r>
      <w:r>
        <w:t xml:space="preserve"> </w:t>
      </w:r>
      <w:r w:rsidR="00ED318F">
        <w:t>principle</w:t>
      </w:r>
      <w:r>
        <w:rPr>
          <w:rFonts w:hint="eastAsia"/>
        </w:rPr>
        <w:t>,</w:t>
      </w:r>
      <w:r>
        <w:t xml:space="preserve"> the AMF should host the function of </w:t>
      </w:r>
      <w:r w:rsidRPr="009E3CB9">
        <w:t xml:space="preserve">access control </w:t>
      </w:r>
      <w:r>
        <w:t xml:space="preserve">for NR </w:t>
      </w:r>
      <w:proofErr w:type="spellStart"/>
      <w:r w:rsidR="00ED318F">
        <w:t>Femto</w:t>
      </w:r>
      <w:proofErr w:type="spellEnd"/>
      <w:r w:rsidR="00ED318F">
        <w:t xml:space="preserve"> node. And AMF has done the same job in PNI-</w:t>
      </w:r>
      <w:r w:rsidR="00ED318F" w:rsidRPr="009E3CB9">
        <w:t>NPN</w:t>
      </w:r>
      <w:r w:rsidR="00ED318F">
        <w:t xml:space="preserve"> network,</w:t>
      </w:r>
      <w:r w:rsidR="00ED318F" w:rsidRPr="009E3CB9">
        <w:t xml:space="preserve"> </w:t>
      </w:r>
      <w:r w:rsidR="00ED318F">
        <w:t xml:space="preserve">so the </w:t>
      </w:r>
      <w:r w:rsidR="00BD5796" w:rsidRPr="009E3CB9">
        <w:t xml:space="preserve">AMF is the </w:t>
      </w:r>
      <w:r w:rsidR="00ED318F">
        <w:t>‘chosen one’</w:t>
      </w:r>
      <w:r w:rsidR="00BD5796" w:rsidRPr="009E3CB9">
        <w:t xml:space="preserve"> for the access control </w:t>
      </w:r>
      <w:r w:rsidR="00ED318F">
        <w:t xml:space="preserve">of NR </w:t>
      </w:r>
      <w:proofErr w:type="spellStart"/>
      <w:r w:rsidR="00ED318F">
        <w:t>Femto</w:t>
      </w:r>
      <w:proofErr w:type="spellEnd"/>
      <w:r w:rsidR="00ED318F">
        <w:t>.</w:t>
      </w:r>
    </w:p>
    <w:p w:rsidR="00BD5796" w:rsidRPr="009C0617" w:rsidRDefault="00BD5796" w:rsidP="0053473C">
      <w:pPr>
        <w:rPr>
          <w:b/>
          <w:bCs/>
        </w:rPr>
      </w:pPr>
      <w:r w:rsidRPr="009C0617">
        <w:rPr>
          <w:b/>
          <w:bCs/>
        </w:rPr>
        <w:t xml:space="preserve">Proposal </w:t>
      </w:r>
      <w:r w:rsidR="009A2961">
        <w:rPr>
          <w:b/>
          <w:bCs/>
        </w:rPr>
        <w:t>1</w:t>
      </w:r>
      <w:r w:rsidRPr="009C0617">
        <w:rPr>
          <w:b/>
          <w:bCs/>
        </w:rPr>
        <w:t xml:space="preserve">: </w:t>
      </w:r>
      <w:r w:rsidR="00DB786A" w:rsidRPr="009C0617">
        <w:rPr>
          <w:b/>
          <w:bCs/>
        </w:rPr>
        <w:t xml:space="preserve">AMF hosts the </w:t>
      </w:r>
      <w:r w:rsidRPr="009C0617">
        <w:rPr>
          <w:b/>
          <w:bCs/>
        </w:rPr>
        <w:t xml:space="preserve">access control </w:t>
      </w:r>
      <w:r w:rsidR="00DB786A" w:rsidRPr="009C0617">
        <w:rPr>
          <w:b/>
          <w:bCs/>
        </w:rPr>
        <w:t>function for</w:t>
      </w:r>
      <w:r w:rsidRPr="009C0617">
        <w:rPr>
          <w:b/>
          <w:bCs/>
        </w:rPr>
        <w:t xml:space="preserve"> 5G </w:t>
      </w:r>
      <w:proofErr w:type="spellStart"/>
      <w:r w:rsidRPr="009C0617">
        <w:rPr>
          <w:b/>
          <w:bCs/>
        </w:rPr>
        <w:t>Femto</w:t>
      </w:r>
      <w:proofErr w:type="spellEnd"/>
      <w:r w:rsidRPr="009C0617">
        <w:rPr>
          <w:b/>
          <w:bCs/>
        </w:rPr>
        <w:t>.</w:t>
      </w:r>
    </w:p>
    <w:p w:rsidR="00DE10F6" w:rsidRDefault="00175D40" w:rsidP="007E638F">
      <w:pPr>
        <w:spacing w:before="240"/>
      </w:pPr>
      <w:r w:rsidRPr="00DE10F6">
        <w:t xml:space="preserve">For PNI-NPN, the list of CAG IDs of the cell from which the UE accesses in </w:t>
      </w:r>
      <w:r w:rsidR="00DE10F6" w:rsidRPr="00DE10F6">
        <w:t xml:space="preserve">was </w:t>
      </w:r>
      <w:r w:rsidR="00DE10F6">
        <w:t xml:space="preserve">placed </w:t>
      </w:r>
      <w:r w:rsidR="00DE10F6" w:rsidRPr="00DE10F6">
        <w:t xml:space="preserve">in the NPN Access Information IE </w:t>
      </w:r>
      <w:r w:rsidRPr="00DE10F6">
        <w:t xml:space="preserve">in the Initial UE Message, </w:t>
      </w:r>
      <w:r w:rsidR="00DE10F6" w:rsidRPr="00DE10F6">
        <w:t xml:space="preserve">if the same IE is reused to indicate the UEs which are members of CAG </w:t>
      </w:r>
      <w:proofErr w:type="spellStart"/>
      <w:r w:rsidR="00DE10F6" w:rsidRPr="00DE10F6">
        <w:t>Femto</w:t>
      </w:r>
      <w:proofErr w:type="spellEnd"/>
      <w:r w:rsidR="00DE10F6" w:rsidRPr="00DE10F6">
        <w:t xml:space="preserve"> cell, </w:t>
      </w:r>
      <w:r w:rsidR="00DE10F6">
        <w:t>a new IE</w:t>
      </w:r>
      <w:r w:rsidR="00DE10F6" w:rsidRPr="00DE10F6">
        <w:t xml:space="preserve"> should</w:t>
      </w:r>
      <w:r w:rsidR="00DE10F6" w:rsidRPr="00DE10F6">
        <w:rPr>
          <w:rFonts w:hint="eastAsia"/>
        </w:rPr>
        <w:t xml:space="preserve"> </w:t>
      </w:r>
      <w:r w:rsidR="00DE10F6" w:rsidRPr="00DE10F6">
        <w:t xml:space="preserve">be </w:t>
      </w:r>
      <w:r w:rsidR="00DE10F6">
        <w:t xml:space="preserve">introduced to </w:t>
      </w:r>
      <w:r w:rsidR="00E740DC">
        <w:t xml:space="preserve">contain the </w:t>
      </w:r>
      <w:r w:rsidR="007E638F">
        <w:t xml:space="preserve">list of </w:t>
      </w:r>
      <w:r w:rsidR="007E638F" w:rsidRPr="00DE10F6">
        <w:t>CAG IDs</w:t>
      </w:r>
      <w:r w:rsidR="002B18D4">
        <w:t xml:space="preserve"> to indicate the CAG list</w:t>
      </w:r>
      <w:r w:rsidR="00E740DC">
        <w:t xml:space="preserve"> </w:t>
      </w:r>
      <w:r w:rsidR="007E638F">
        <w:t xml:space="preserve">is used for 5G </w:t>
      </w:r>
      <w:proofErr w:type="spellStart"/>
      <w:r w:rsidR="007E638F">
        <w:t>Femto</w:t>
      </w:r>
      <w:proofErr w:type="spellEnd"/>
      <w:r w:rsidR="007E638F">
        <w:t>, not for the PNI-NPN.</w:t>
      </w:r>
    </w:p>
    <w:p w:rsidR="002B18D4" w:rsidRPr="009C0617" w:rsidRDefault="009A2961" w:rsidP="00EE2296">
      <w:pPr>
        <w:spacing w:before="120"/>
        <w:rPr>
          <w:b/>
          <w:bCs/>
        </w:rPr>
      </w:pPr>
      <w:r>
        <w:rPr>
          <w:b/>
          <w:bCs/>
        </w:rPr>
        <w:t>Proposal 2</w:t>
      </w:r>
      <w:r w:rsidR="002B18D4" w:rsidRPr="009C0617">
        <w:rPr>
          <w:b/>
          <w:bCs/>
        </w:rPr>
        <w:t>: A new IE should</w:t>
      </w:r>
      <w:r w:rsidR="002B18D4" w:rsidRPr="009C0617">
        <w:rPr>
          <w:rFonts w:hint="eastAsia"/>
          <w:b/>
          <w:bCs/>
        </w:rPr>
        <w:t xml:space="preserve"> </w:t>
      </w:r>
      <w:r w:rsidR="002B18D4" w:rsidRPr="009C0617">
        <w:rPr>
          <w:b/>
          <w:bCs/>
        </w:rPr>
        <w:t xml:space="preserve">be introduced to contain the list of CAG IDs in the Initial UE Message </w:t>
      </w:r>
      <w:r w:rsidR="00725EE9">
        <w:rPr>
          <w:b/>
          <w:bCs/>
        </w:rPr>
        <w:t xml:space="preserve">in order </w:t>
      </w:r>
      <w:r w:rsidR="002B18D4" w:rsidRPr="009C0617">
        <w:rPr>
          <w:b/>
          <w:bCs/>
        </w:rPr>
        <w:t xml:space="preserve">to indicate </w:t>
      </w:r>
      <w:r w:rsidR="00725EE9">
        <w:rPr>
          <w:b/>
          <w:bCs/>
        </w:rPr>
        <w:t xml:space="preserve">that </w:t>
      </w:r>
      <w:r w:rsidR="002B18D4" w:rsidRPr="009C0617">
        <w:rPr>
          <w:b/>
          <w:bCs/>
        </w:rPr>
        <w:t xml:space="preserve">the CAG list is used for 5G </w:t>
      </w:r>
      <w:proofErr w:type="spellStart"/>
      <w:r w:rsidR="002B18D4" w:rsidRPr="009C0617">
        <w:rPr>
          <w:b/>
          <w:bCs/>
        </w:rPr>
        <w:t>Femto</w:t>
      </w:r>
      <w:proofErr w:type="spellEnd"/>
      <w:r w:rsidR="002B18D4" w:rsidRPr="009C0617">
        <w:rPr>
          <w:b/>
          <w:bCs/>
        </w:rPr>
        <w:t>.</w:t>
      </w:r>
    </w:p>
    <w:p w:rsidR="00A51325" w:rsidRPr="00725EE9" w:rsidRDefault="00A51325" w:rsidP="008B3E55">
      <w:pPr>
        <w:spacing w:before="120"/>
      </w:pPr>
    </w:p>
    <w:p w:rsidR="00CF469D" w:rsidRPr="001B7E1C" w:rsidRDefault="00CF469D">
      <w:pPr>
        <w:rPr>
          <w:lang w:val="en-US"/>
        </w:rPr>
      </w:pPr>
    </w:p>
    <w:p w:rsidR="00CF469D" w:rsidRDefault="00CF469D">
      <w:pPr>
        <w:pStyle w:val="1"/>
        <w:numPr>
          <w:ilvl w:val="0"/>
          <w:numId w:val="12"/>
        </w:numPr>
        <w:tabs>
          <w:tab w:val="left" w:pos="432"/>
        </w:tabs>
        <w:spacing w:line="276" w:lineRule="auto"/>
        <w:rPr>
          <w:b/>
        </w:rPr>
      </w:pPr>
      <w:r>
        <w:rPr>
          <w:rFonts w:hint="eastAsia"/>
          <w:b/>
        </w:rPr>
        <w:t>Conclusion</w:t>
      </w:r>
    </w:p>
    <w:p w:rsidR="00CF469D" w:rsidRDefault="00CF469D">
      <w:pPr>
        <w:pStyle w:val="a7"/>
        <w:spacing w:line="276" w:lineRule="auto"/>
      </w:pPr>
      <w:r>
        <w:t>Based on the above discussion</w:t>
      </w:r>
      <w:r w:rsidR="00725EE9">
        <w:t xml:space="preserve"> on access control</w:t>
      </w:r>
      <w:r>
        <w:t xml:space="preserve">, we have the following </w:t>
      </w:r>
      <w:r w:rsidR="00725EE9">
        <w:t xml:space="preserve">observation and </w:t>
      </w:r>
      <w:r>
        <w:t>proposals:</w:t>
      </w:r>
    </w:p>
    <w:p w:rsidR="00725EE9" w:rsidRPr="004C5BFE" w:rsidRDefault="00725EE9" w:rsidP="00725EE9">
      <w:pPr>
        <w:rPr>
          <w:b/>
          <w:bCs/>
        </w:rPr>
      </w:pPr>
      <w:r w:rsidRPr="004C5BFE">
        <w:rPr>
          <w:b/>
          <w:bCs/>
        </w:rPr>
        <w:t xml:space="preserve">Observation:  </w:t>
      </w:r>
      <w:r>
        <w:rPr>
          <w:b/>
          <w:bCs/>
        </w:rPr>
        <w:t>R</w:t>
      </w:r>
      <w:r w:rsidRPr="004C5BFE">
        <w:rPr>
          <w:b/>
          <w:bCs/>
        </w:rPr>
        <w:t xml:space="preserve">eusing the CAG mechanism could implement applicability of use cases equivalent to </w:t>
      </w:r>
      <w:r w:rsidRPr="004C5BFE">
        <w:rPr>
          <w:rFonts w:hint="eastAsia"/>
          <w:b/>
          <w:bCs/>
        </w:rPr>
        <w:t>using</w:t>
      </w:r>
      <w:r w:rsidRPr="004C5BFE">
        <w:rPr>
          <w:b/>
          <w:bCs/>
        </w:rPr>
        <w:t xml:space="preserve"> </w:t>
      </w:r>
      <w:r w:rsidRPr="004C5BFE">
        <w:rPr>
          <w:rFonts w:hint="eastAsia"/>
          <w:b/>
          <w:bCs/>
        </w:rPr>
        <w:t>CSG</w:t>
      </w:r>
      <w:r w:rsidRPr="004C5BFE">
        <w:rPr>
          <w:b/>
          <w:bCs/>
        </w:rPr>
        <w:t xml:space="preserve"> in 4G.</w:t>
      </w:r>
    </w:p>
    <w:p w:rsidR="00725EE9" w:rsidRPr="009C0617" w:rsidRDefault="00725EE9" w:rsidP="00725EE9">
      <w:pPr>
        <w:rPr>
          <w:b/>
          <w:bCs/>
        </w:rPr>
      </w:pPr>
      <w:r w:rsidRPr="009C0617">
        <w:rPr>
          <w:b/>
          <w:bCs/>
        </w:rPr>
        <w:t xml:space="preserve">Proposal </w:t>
      </w:r>
      <w:r>
        <w:rPr>
          <w:b/>
          <w:bCs/>
        </w:rPr>
        <w:t>1</w:t>
      </w:r>
      <w:r w:rsidRPr="009C0617">
        <w:rPr>
          <w:b/>
          <w:bCs/>
        </w:rPr>
        <w:t xml:space="preserve">: AMF hosts the access control function for 5G </w:t>
      </w:r>
      <w:proofErr w:type="spellStart"/>
      <w:r w:rsidRPr="009C0617">
        <w:rPr>
          <w:b/>
          <w:bCs/>
        </w:rPr>
        <w:t>Femto</w:t>
      </w:r>
      <w:proofErr w:type="spellEnd"/>
      <w:r w:rsidRPr="009C0617">
        <w:rPr>
          <w:b/>
          <w:bCs/>
        </w:rPr>
        <w:t>.</w:t>
      </w:r>
    </w:p>
    <w:p w:rsidR="00725EE9" w:rsidRPr="00725EE9" w:rsidRDefault="00725EE9">
      <w:pPr>
        <w:pStyle w:val="a7"/>
        <w:spacing w:line="276" w:lineRule="auto"/>
        <w:rPr>
          <w:lang w:val="en-GB"/>
        </w:rPr>
      </w:pPr>
      <w:r>
        <w:rPr>
          <w:b/>
          <w:bCs/>
        </w:rPr>
        <w:t>Proposal 2</w:t>
      </w:r>
      <w:r w:rsidRPr="009C0617">
        <w:rPr>
          <w:b/>
          <w:bCs/>
          <w:sz w:val="22"/>
        </w:rPr>
        <w:t xml:space="preserve">: </w:t>
      </w:r>
      <w:r w:rsidRPr="009C0617">
        <w:rPr>
          <w:b/>
          <w:bCs/>
        </w:rPr>
        <w:t>A new IE</w:t>
      </w:r>
      <w:r w:rsidRPr="009C0617">
        <w:rPr>
          <w:b/>
          <w:bCs/>
          <w:sz w:val="22"/>
          <w:lang w:val="en-GB"/>
        </w:rPr>
        <w:t xml:space="preserve"> should</w:t>
      </w:r>
      <w:r w:rsidRPr="009C0617">
        <w:rPr>
          <w:rFonts w:hint="eastAsia"/>
          <w:b/>
          <w:bCs/>
          <w:sz w:val="22"/>
          <w:lang w:val="en-GB"/>
        </w:rPr>
        <w:t xml:space="preserve"> </w:t>
      </w:r>
      <w:r w:rsidRPr="009C0617">
        <w:rPr>
          <w:b/>
          <w:bCs/>
          <w:sz w:val="22"/>
          <w:lang w:val="en-GB"/>
        </w:rPr>
        <w:t xml:space="preserve">be </w:t>
      </w:r>
      <w:r w:rsidRPr="009C0617">
        <w:rPr>
          <w:b/>
          <w:bCs/>
        </w:rPr>
        <w:t xml:space="preserve">introduced to contain the list of </w:t>
      </w:r>
      <w:r w:rsidRPr="009C0617">
        <w:rPr>
          <w:b/>
          <w:bCs/>
          <w:sz w:val="22"/>
          <w:lang w:val="en-GB"/>
        </w:rPr>
        <w:t>CAG IDs</w:t>
      </w:r>
      <w:r w:rsidRPr="009C0617">
        <w:rPr>
          <w:b/>
          <w:bCs/>
        </w:rPr>
        <w:t xml:space="preserve"> </w:t>
      </w:r>
      <w:r w:rsidRPr="009C0617">
        <w:rPr>
          <w:b/>
          <w:bCs/>
          <w:sz w:val="22"/>
          <w:lang w:val="en-GB"/>
        </w:rPr>
        <w:t>in the Initial UE Message</w:t>
      </w:r>
      <w:r w:rsidRPr="009C0617">
        <w:rPr>
          <w:b/>
          <w:bCs/>
        </w:rPr>
        <w:t xml:space="preserve"> </w:t>
      </w:r>
      <w:r>
        <w:rPr>
          <w:b/>
          <w:bCs/>
        </w:rPr>
        <w:t xml:space="preserve">in order </w:t>
      </w:r>
      <w:r w:rsidRPr="009C0617">
        <w:rPr>
          <w:b/>
          <w:bCs/>
        </w:rPr>
        <w:t xml:space="preserve">to indicate </w:t>
      </w:r>
      <w:r>
        <w:rPr>
          <w:b/>
          <w:bCs/>
        </w:rPr>
        <w:t xml:space="preserve">that </w:t>
      </w:r>
      <w:r w:rsidRPr="009C0617">
        <w:rPr>
          <w:b/>
          <w:bCs/>
        </w:rPr>
        <w:t xml:space="preserve">the CAG list is used for 5G </w:t>
      </w:r>
      <w:proofErr w:type="spellStart"/>
      <w:r w:rsidRPr="009C0617">
        <w:rPr>
          <w:b/>
          <w:bCs/>
        </w:rPr>
        <w:t>Femto</w:t>
      </w:r>
      <w:proofErr w:type="spellEnd"/>
      <w:r w:rsidRPr="009C0617">
        <w:rPr>
          <w:b/>
          <w:bCs/>
          <w:sz w:val="22"/>
        </w:rPr>
        <w:t>.</w:t>
      </w:r>
    </w:p>
    <w:p w:rsidR="00CF469D" w:rsidRDefault="00CF469D">
      <w:pPr>
        <w:rPr>
          <w:b/>
          <w:bCs/>
        </w:rPr>
      </w:pPr>
    </w:p>
    <w:p w:rsidR="00CF469D" w:rsidRDefault="00C92DF0">
      <w:pPr>
        <w:pStyle w:val="1"/>
        <w:numPr>
          <w:ilvl w:val="0"/>
          <w:numId w:val="12"/>
        </w:numPr>
        <w:tabs>
          <w:tab w:val="left" w:pos="432"/>
        </w:tabs>
        <w:spacing w:line="276" w:lineRule="auto"/>
        <w:rPr>
          <w:b/>
        </w:rPr>
      </w:pPr>
      <w:r>
        <w:rPr>
          <w:b/>
        </w:rPr>
        <w:t>Reference</w:t>
      </w:r>
    </w:p>
    <w:p w:rsidR="00AA13B5" w:rsidRDefault="00E8575C" w:rsidP="00CC64C3">
      <w:pPr>
        <w:numPr>
          <w:ilvl w:val="0"/>
          <w:numId w:val="17"/>
        </w:numPr>
        <w:spacing w:beforeLines="100" w:before="240"/>
        <w:rPr>
          <w:rFonts w:eastAsia="Calibri"/>
        </w:rPr>
      </w:pPr>
      <w:r>
        <w:rPr>
          <w:rFonts w:eastAsia="Calibri"/>
        </w:rPr>
        <w:t>TS 36.300</w:t>
      </w:r>
      <w:r w:rsidR="00332C42">
        <w:rPr>
          <w:rFonts w:eastAsia="Calibri"/>
        </w:rPr>
        <w:t xml:space="preserve">, </w:t>
      </w:r>
      <w:r w:rsidR="00332C42" w:rsidRPr="00332C42">
        <w:rPr>
          <w:rFonts w:eastAsia="Calibri"/>
        </w:rPr>
        <w:t>Evolved Universal Terrestrial Radio Access (E-UTRA)</w:t>
      </w:r>
      <w:r w:rsidR="00332C42">
        <w:rPr>
          <w:rFonts w:eastAsia="Calibri"/>
        </w:rPr>
        <w:t xml:space="preserve"> </w:t>
      </w:r>
      <w:r w:rsidR="00332C42" w:rsidRPr="00332C42">
        <w:rPr>
          <w:rFonts w:eastAsia="Calibri"/>
        </w:rPr>
        <w:t>and Evolved Universal Terrestrial Radio Access Network (E-UTRAN)</w:t>
      </w:r>
      <w:r w:rsidR="009A5050">
        <w:rPr>
          <w:rFonts w:eastAsia="Calibri"/>
        </w:rPr>
        <w:t xml:space="preserve">; </w:t>
      </w:r>
      <w:r w:rsidR="009A5050" w:rsidRPr="00332C42">
        <w:rPr>
          <w:rFonts w:eastAsia="Calibri"/>
        </w:rPr>
        <w:t>Overall description</w:t>
      </w:r>
      <w:r w:rsidR="009A5050">
        <w:rPr>
          <w:rFonts w:eastAsia="Calibri"/>
        </w:rPr>
        <w:t xml:space="preserve"> </w:t>
      </w:r>
      <w:r w:rsidR="009A5050" w:rsidRPr="009A5050">
        <w:rPr>
          <w:rFonts w:eastAsia="Calibri"/>
        </w:rPr>
        <w:t>(Release 18)</w:t>
      </w:r>
      <w:r w:rsidR="00332C42">
        <w:rPr>
          <w:rFonts w:eastAsia="Calibri"/>
        </w:rPr>
        <w:t>, 3GPP.</w:t>
      </w:r>
    </w:p>
    <w:p w:rsidR="009A5050" w:rsidRPr="009A5050" w:rsidRDefault="009A5050" w:rsidP="00792858">
      <w:pPr>
        <w:numPr>
          <w:ilvl w:val="0"/>
          <w:numId w:val="17"/>
        </w:numPr>
        <w:spacing w:beforeLines="100" w:before="240"/>
        <w:rPr>
          <w:rFonts w:eastAsia="Calibri"/>
        </w:rPr>
      </w:pPr>
      <w:r w:rsidRPr="009A5050">
        <w:rPr>
          <w:rFonts w:eastAsia="Calibri"/>
        </w:rPr>
        <w:t>TS 33.320, Security of Home Node B (HNB) / Home evolved Node B (</w:t>
      </w:r>
      <w:proofErr w:type="spellStart"/>
      <w:r w:rsidRPr="009A5050">
        <w:rPr>
          <w:rFonts w:eastAsia="Calibri"/>
        </w:rPr>
        <w:t>HeNB</w:t>
      </w:r>
      <w:proofErr w:type="spellEnd"/>
      <w:r w:rsidRPr="009A5050">
        <w:rPr>
          <w:rFonts w:eastAsia="Calibri"/>
        </w:rPr>
        <w:t>) (Release 18), 3GPP.</w:t>
      </w:r>
    </w:p>
    <w:sectPr w:rsidR="009A5050" w:rsidRPr="009A5050">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A2D" w:rsidRDefault="00316A2D">
      <w:pPr>
        <w:spacing w:after="0" w:line="240" w:lineRule="auto"/>
      </w:pPr>
      <w:r>
        <w:separator/>
      </w:r>
    </w:p>
  </w:endnote>
  <w:endnote w:type="continuationSeparator" w:id="0">
    <w:p w:rsidR="00316A2D" w:rsidRDefault="00316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BF" w:rsidRDefault="009D0EBF">
    <w:pPr>
      <w:pStyle w:val="aa"/>
      <w:tabs>
        <w:tab w:val="center" w:pos="4820"/>
        <w:tab w:val="right" w:pos="9639"/>
      </w:tabs>
      <w:jc w:val="left"/>
    </w:pPr>
    <w:r>
      <w:tab/>
    </w:r>
    <w:r>
      <w:fldChar w:fldCharType="begin"/>
    </w:r>
    <w:r>
      <w:rPr>
        <w:rStyle w:val="af2"/>
      </w:rPr>
      <w:instrText xml:space="preserve"> PAGE </w:instrText>
    </w:r>
    <w:r>
      <w:fldChar w:fldCharType="separate"/>
    </w:r>
    <w:r w:rsidR="00E47F54">
      <w:rPr>
        <w:rStyle w:val="af2"/>
        <w:noProof/>
      </w:rPr>
      <w:t>1</w:t>
    </w:r>
    <w:r>
      <w:fldChar w:fldCharType="end"/>
    </w:r>
    <w:r>
      <w:rPr>
        <w:rStyle w:val="af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A2D" w:rsidRDefault="00316A2D">
      <w:pPr>
        <w:spacing w:after="0" w:line="240" w:lineRule="auto"/>
      </w:pPr>
      <w:r>
        <w:separator/>
      </w:r>
    </w:p>
  </w:footnote>
  <w:footnote w:type="continuationSeparator" w:id="0">
    <w:p w:rsidR="00316A2D" w:rsidRDefault="00316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multilevel"/>
    <w:tmpl w:val="00805025"/>
    <w:lvl w:ilvl="0">
      <w:start w:val="1"/>
      <w:numFmt w:val="bullet"/>
      <w:pStyle w:val="5"/>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972726"/>
    <w:multiLevelType w:val="hybridMultilevel"/>
    <w:tmpl w:val="50789370"/>
    <w:lvl w:ilvl="0" w:tplc="A8F8BA4E">
      <w:start w:val="1"/>
      <w:numFmt w:val="bullet"/>
      <w:lvlText w:val="-"/>
      <w:lvlJc w:val="left"/>
      <w:pPr>
        <w:tabs>
          <w:tab w:val="num" w:pos="1080"/>
        </w:tabs>
        <w:ind w:left="108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08F6435"/>
    <w:multiLevelType w:val="multilevel"/>
    <w:tmpl w:val="1882901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宋体" w:eastAsia="宋体" w:hAnsi="宋体"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7860C4"/>
    <w:multiLevelType w:val="multilevel"/>
    <w:tmpl w:val="08CE131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16B25A70"/>
    <w:multiLevelType w:val="multilevel"/>
    <w:tmpl w:val="8F0AF2F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1A224BC6"/>
    <w:multiLevelType w:val="multilevel"/>
    <w:tmpl w:val="84505D2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3E701D"/>
    <w:multiLevelType w:val="multilevel"/>
    <w:tmpl w:val="1A3E70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BD514E"/>
    <w:multiLevelType w:val="hybridMultilevel"/>
    <w:tmpl w:val="E74AC6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D286F"/>
    <w:multiLevelType w:val="hybridMultilevel"/>
    <w:tmpl w:val="B2469E2A"/>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F1660"/>
    <w:multiLevelType w:val="multilevel"/>
    <w:tmpl w:val="29CF1660"/>
    <w:lvl w:ilvl="0">
      <w:start w:val="1"/>
      <w:numFmt w:val="decimal"/>
      <w:pStyle w:val="Reference"/>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5" w15:restartNumberingAfterBreak="0">
    <w:nsid w:val="2EA82704"/>
    <w:multiLevelType w:val="multilevel"/>
    <w:tmpl w:val="2EA82704"/>
    <w:lvl w:ilvl="0">
      <w:start w:val="2"/>
      <w:numFmt w:val="bullet"/>
      <w:pStyle w:val="Doc-title"/>
      <w:lvlText w:val="-"/>
      <w:lvlJc w:val="left"/>
      <w:pPr>
        <w:tabs>
          <w:tab w:val="num" w:pos="-680"/>
        </w:tabs>
        <w:ind w:left="-680" w:hanging="360"/>
      </w:pPr>
      <w:rPr>
        <w:rFonts w:ascii="Arial" w:eastAsia="MS Mincho" w:hAnsi="Arial" w:cs="Arial" w:hint="default"/>
      </w:rPr>
    </w:lvl>
    <w:lvl w:ilvl="1">
      <w:start w:val="1"/>
      <w:numFmt w:val="bullet"/>
      <w:lvlText w:val="o"/>
      <w:lvlJc w:val="left"/>
      <w:pPr>
        <w:tabs>
          <w:tab w:val="num" w:pos="40"/>
        </w:tabs>
        <w:ind w:left="40" w:hanging="360"/>
      </w:pPr>
      <w:rPr>
        <w:rFonts w:ascii="Courier New" w:hAnsi="Courier New" w:cs="Courier New" w:hint="default"/>
      </w:rPr>
    </w:lvl>
    <w:lvl w:ilvl="2">
      <w:start w:val="1"/>
      <w:numFmt w:val="bullet"/>
      <w:lvlText w:val=""/>
      <w:lvlJc w:val="left"/>
      <w:pPr>
        <w:tabs>
          <w:tab w:val="num" w:pos="760"/>
        </w:tabs>
        <w:ind w:left="760" w:hanging="360"/>
      </w:pPr>
      <w:rPr>
        <w:rFonts w:ascii="Wingdings" w:hAnsi="Wingdings" w:hint="default"/>
      </w:rPr>
    </w:lvl>
    <w:lvl w:ilvl="3">
      <w:start w:val="1"/>
      <w:numFmt w:val="bullet"/>
      <w:lvlText w:val=""/>
      <w:lvlJc w:val="left"/>
      <w:pPr>
        <w:tabs>
          <w:tab w:val="num" w:pos="1480"/>
        </w:tabs>
        <w:ind w:left="1480" w:hanging="360"/>
      </w:pPr>
      <w:rPr>
        <w:rFonts w:ascii="Symbol" w:hAnsi="Symbol" w:hint="default"/>
      </w:rPr>
    </w:lvl>
    <w:lvl w:ilvl="4">
      <w:start w:val="1"/>
      <w:numFmt w:val="bullet"/>
      <w:lvlText w:val="o"/>
      <w:lvlJc w:val="left"/>
      <w:pPr>
        <w:tabs>
          <w:tab w:val="num" w:pos="2200"/>
        </w:tabs>
        <w:ind w:left="2200" w:hanging="360"/>
      </w:pPr>
      <w:rPr>
        <w:rFonts w:ascii="Courier New" w:hAnsi="Courier New" w:cs="Courier New" w:hint="default"/>
      </w:rPr>
    </w:lvl>
    <w:lvl w:ilvl="5">
      <w:start w:val="1"/>
      <w:numFmt w:val="bullet"/>
      <w:lvlText w:val=""/>
      <w:lvlJc w:val="left"/>
      <w:pPr>
        <w:tabs>
          <w:tab w:val="num" w:pos="2920"/>
        </w:tabs>
        <w:ind w:left="2920" w:hanging="360"/>
      </w:pPr>
      <w:rPr>
        <w:rFonts w:ascii="Wingdings" w:hAnsi="Wingdings" w:hint="default"/>
      </w:rPr>
    </w:lvl>
    <w:lvl w:ilvl="6">
      <w:start w:val="1"/>
      <w:numFmt w:val="bullet"/>
      <w:lvlText w:val=""/>
      <w:lvlJc w:val="left"/>
      <w:pPr>
        <w:tabs>
          <w:tab w:val="num" w:pos="3640"/>
        </w:tabs>
        <w:ind w:left="3640" w:hanging="360"/>
      </w:pPr>
      <w:rPr>
        <w:rFonts w:ascii="Symbol" w:hAnsi="Symbol" w:hint="default"/>
      </w:rPr>
    </w:lvl>
    <w:lvl w:ilvl="7">
      <w:start w:val="1"/>
      <w:numFmt w:val="bullet"/>
      <w:lvlText w:val="o"/>
      <w:lvlJc w:val="left"/>
      <w:pPr>
        <w:tabs>
          <w:tab w:val="num" w:pos="4360"/>
        </w:tabs>
        <w:ind w:left="4360" w:hanging="360"/>
      </w:pPr>
      <w:rPr>
        <w:rFonts w:ascii="Courier New" w:hAnsi="Courier New" w:cs="Courier New" w:hint="default"/>
      </w:rPr>
    </w:lvl>
    <w:lvl w:ilvl="8">
      <w:start w:val="1"/>
      <w:numFmt w:val="bullet"/>
      <w:lvlText w:val=""/>
      <w:lvlJc w:val="left"/>
      <w:pPr>
        <w:tabs>
          <w:tab w:val="num"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4165BE5"/>
    <w:multiLevelType w:val="hybridMultilevel"/>
    <w:tmpl w:val="76A2AA72"/>
    <w:lvl w:ilvl="0" w:tplc="58D8C818">
      <w:start w:val="1"/>
      <w:numFmt w:val="bullet"/>
      <w:lvlText w:val="−"/>
      <w:lvlJc w:val="left"/>
      <w:pPr>
        <w:ind w:left="1080" w:hanging="420"/>
      </w:pPr>
      <w:rPr>
        <w:rFonts w:ascii="微软雅黑" w:eastAsia="微软雅黑" w:hAnsi="微软雅黑"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FF02970"/>
    <w:multiLevelType w:val="hybridMultilevel"/>
    <w:tmpl w:val="BCDA7054"/>
    <w:lvl w:ilvl="0" w:tplc="BA40D26A">
      <w:start w:val="9"/>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977F49"/>
    <w:multiLevelType w:val="hybridMultilevel"/>
    <w:tmpl w:val="F0A0D99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1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pStyle w:val="ParaCharCharCharCharCharCharCharCharCharCharCharCharCharChar"/>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75C6D"/>
    <w:multiLevelType w:val="multilevel"/>
    <w:tmpl w:val="7EC75C6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5"/>
  </w:num>
  <w:num w:numId="5">
    <w:abstractNumId w:val="24"/>
  </w:num>
  <w:num w:numId="6">
    <w:abstractNumId w:val="12"/>
  </w:num>
  <w:num w:numId="7">
    <w:abstractNumId w:val="18"/>
  </w:num>
  <w:num w:numId="8">
    <w:abstractNumId w:val="21"/>
  </w:num>
  <w:num w:numId="9">
    <w:abstractNumId w:val="13"/>
  </w:num>
  <w:num w:numId="10">
    <w:abstractNumId w:val="4"/>
  </w:num>
  <w:num w:numId="11">
    <w:abstractNumId w:val="14"/>
  </w:num>
  <w:num w:numId="12">
    <w:abstractNumId w:val="16"/>
  </w:num>
  <w:num w:numId="13">
    <w:abstractNumId w:val="25"/>
  </w:num>
  <w:num w:numId="14">
    <w:abstractNumId w:val="9"/>
  </w:num>
  <w:num w:numId="15">
    <w:abstractNumId w:val="19"/>
  </w:num>
  <w:num w:numId="16">
    <w:abstractNumId w:val="6"/>
  </w:num>
  <w:num w:numId="17">
    <w:abstractNumId w:val="7"/>
  </w:num>
  <w:num w:numId="18">
    <w:abstractNumId w:val="8"/>
  </w:num>
  <w:num w:numId="19">
    <w:abstractNumId w:val="3"/>
  </w:num>
  <w:num w:numId="20">
    <w:abstractNumId w:val="20"/>
  </w:num>
  <w:num w:numId="21">
    <w:abstractNumId w:val="10"/>
  </w:num>
  <w:num w:numId="22">
    <w:abstractNumId w:val="1"/>
  </w:num>
  <w:num w:numId="23">
    <w:abstractNumId w:val="11"/>
  </w:num>
  <w:num w:numId="24">
    <w:abstractNumId w:val="17"/>
  </w:num>
  <w:num w:numId="25">
    <w:abstractNumId w:val="2"/>
  </w:num>
  <w:num w:numId="26">
    <w:abstractNumId w:val="2"/>
  </w:num>
  <w:num w:numId="27">
    <w:abstractNumId w:val="22"/>
  </w:num>
  <w:num w:numId="28">
    <w:abstractNumId w:val="2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VjOTg0YTRlN2QyOGJmZDFjMzk0ODIyYjk3YzI0NDEifQ=="/>
  </w:docVars>
  <w:rsids>
    <w:rsidRoot w:val="00DD5B42"/>
    <w:rsid w:val="00000464"/>
    <w:rsid w:val="00000643"/>
    <w:rsid w:val="0000067B"/>
    <w:rsid w:val="0000086A"/>
    <w:rsid w:val="00000980"/>
    <w:rsid w:val="00000AF9"/>
    <w:rsid w:val="00000B76"/>
    <w:rsid w:val="00000F6A"/>
    <w:rsid w:val="00001117"/>
    <w:rsid w:val="0000115D"/>
    <w:rsid w:val="00001170"/>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7AF"/>
    <w:rsid w:val="00091A01"/>
    <w:rsid w:val="00091AAE"/>
    <w:rsid w:val="000922DD"/>
    <w:rsid w:val="000929EA"/>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E7"/>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DFC"/>
    <w:rsid w:val="00115EB3"/>
    <w:rsid w:val="001164F5"/>
    <w:rsid w:val="001166C1"/>
    <w:rsid w:val="001167C5"/>
    <w:rsid w:val="00116985"/>
    <w:rsid w:val="00116ADB"/>
    <w:rsid w:val="00116CD6"/>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550A"/>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923"/>
    <w:rsid w:val="00170285"/>
    <w:rsid w:val="00170496"/>
    <w:rsid w:val="0017161E"/>
    <w:rsid w:val="001718D8"/>
    <w:rsid w:val="00171BB2"/>
    <w:rsid w:val="00171C67"/>
    <w:rsid w:val="0017206F"/>
    <w:rsid w:val="00172434"/>
    <w:rsid w:val="00172AD2"/>
    <w:rsid w:val="00172DF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42"/>
    <w:rsid w:val="00187776"/>
    <w:rsid w:val="00187884"/>
    <w:rsid w:val="00187961"/>
    <w:rsid w:val="0018797A"/>
    <w:rsid w:val="00187CB6"/>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AD1"/>
    <w:rsid w:val="00196CD1"/>
    <w:rsid w:val="001971C7"/>
    <w:rsid w:val="00197443"/>
    <w:rsid w:val="00197512"/>
    <w:rsid w:val="00197F26"/>
    <w:rsid w:val="001A02E5"/>
    <w:rsid w:val="001A0495"/>
    <w:rsid w:val="001A059C"/>
    <w:rsid w:val="001A0A6D"/>
    <w:rsid w:val="001A0CFD"/>
    <w:rsid w:val="001A11C5"/>
    <w:rsid w:val="001A12AD"/>
    <w:rsid w:val="001A180C"/>
    <w:rsid w:val="001A190C"/>
    <w:rsid w:val="001A194D"/>
    <w:rsid w:val="001A19FC"/>
    <w:rsid w:val="001A1A57"/>
    <w:rsid w:val="001A1D38"/>
    <w:rsid w:val="001A1DA3"/>
    <w:rsid w:val="001A2281"/>
    <w:rsid w:val="001A2293"/>
    <w:rsid w:val="001A2CB8"/>
    <w:rsid w:val="001A31F7"/>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635"/>
    <w:rsid w:val="001B79E4"/>
    <w:rsid w:val="001B7AB3"/>
    <w:rsid w:val="001B7AC3"/>
    <w:rsid w:val="001B7CC0"/>
    <w:rsid w:val="001B7D43"/>
    <w:rsid w:val="001B7E1C"/>
    <w:rsid w:val="001B7EFE"/>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881"/>
    <w:rsid w:val="001E0EA8"/>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327"/>
    <w:rsid w:val="001E743C"/>
    <w:rsid w:val="001E7644"/>
    <w:rsid w:val="001E78CA"/>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389"/>
    <w:rsid w:val="00253FB9"/>
    <w:rsid w:val="002545A9"/>
    <w:rsid w:val="002548A0"/>
    <w:rsid w:val="00254AB4"/>
    <w:rsid w:val="00254B88"/>
    <w:rsid w:val="00254BA1"/>
    <w:rsid w:val="00254FFE"/>
    <w:rsid w:val="0025514F"/>
    <w:rsid w:val="00255B4F"/>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C0C"/>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C2"/>
    <w:rsid w:val="0028666F"/>
    <w:rsid w:val="0028678B"/>
    <w:rsid w:val="00286795"/>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CE"/>
    <w:rsid w:val="002E3E00"/>
    <w:rsid w:val="002E3F31"/>
    <w:rsid w:val="002E43A9"/>
    <w:rsid w:val="002E45F4"/>
    <w:rsid w:val="002E4842"/>
    <w:rsid w:val="002E48A6"/>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C5F"/>
    <w:rsid w:val="002F1D0A"/>
    <w:rsid w:val="002F1E4B"/>
    <w:rsid w:val="002F29B8"/>
    <w:rsid w:val="002F29EE"/>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D33"/>
    <w:rsid w:val="00317E74"/>
    <w:rsid w:val="00320552"/>
    <w:rsid w:val="00320A26"/>
    <w:rsid w:val="00321273"/>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BFE"/>
    <w:rsid w:val="00340127"/>
    <w:rsid w:val="003402F9"/>
    <w:rsid w:val="003406F8"/>
    <w:rsid w:val="00340777"/>
    <w:rsid w:val="00340F8D"/>
    <w:rsid w:val="00341445"/>
    <w:rsid w:val="0034158A"/>
    <w:rsid w:val="00341872"/>
    <w:rsid w:val="00341AA7"/>
    <w:rsid w:val="0034214E"/>
    <w:rsid w:val="003423A6"/>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1029"/>
    <w:rsid w:val="003514CA"/>
    <w:rsid w:val="003515C7"/>
    <w:rsid w:val="00351B47"/>
    <w:rsid w:val="00351BA8"/>
    <w:rsid w:val="003524EC"/>
    <w:rsid w:val="003527F2"/>
    <w:rsid w:val="00352D9A"/>
    <w:rsid w:val="00353055"/>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191"/>
    <w:rsid w:val="003625CC"/>
    <w:rsid w:val="003628AD"/>
    <w:rsid w:val="00362A96"/>
    <w:rsid w:val="00363093"/>
    <w:rsid w:val="0036330A"/>
    <w:rsid w:val="003633BF"/>
    <w:rsid w:val="003633C3"/>
    <w:rsid w:val="0036356C"/>
    <w:rsid w:val="00363763"/>
    <w:rsid w:val="00363AD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FE"/>
    <w:rsid w:val="00373BDF"/>
    <w:rsid w:val="00374080"/>
    <w:rsid w:val="0037506F"/>
    <w:rsid w:val="003759BE"/>
    <w:rsid w:val="00375E7F"/>
    <w:rsid w:val="00375EF6"/>
    <w:rsid w:val="00376A80"/>
    <w:rsid w:val="00376CC8"/>
    <w:rsid w:val="00376E11"/>
    <w:rsid w:val="00376F1B"/>
    <w:rsid w:val="00377097"/>
    <w:rsid w:val="0037745D"/>
    <w:rsid w:val="003774C9"/>
    <w:rsid w:val="00377D83"/>
    <w:rsid w:val="00380135"/>
    <w:rsid w:val="003803BB"/>
    <w:rsid w:val="003808F7"/>
    <w:rsid w:val="00380972"/>
    <w:rsid w:val="003809FD"/>
    <w:rsid w:val="00380C8C"/>
    <w:rsid w:val="00381025"/>
    <w:rsid w:val="00381115"/>
    <w:rsid w:val="003811A8"/>
    <w:rsid w:val="003816FC"/>
    <w:rsid w:val="00381F52"/>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776"/>
    <w:rsid w:val="0038790B"/>
    <w:rsid w:val="00387C53"/>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C7A"/>
    <w:rsid w:val="003A5CA1"/>
    <w:rsid w:val="003A6004"/>
    <w:rsid w:val="003A63EA"/>
    <w:rsid w:val="003A6432"/>
    <w:rsid w:val="003A65C0"/>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E53"/>
    <w:rsid w:val="003C2040"/>
    <w:rsid w:val="003C25C9"/>
    <w:rsid w:val="003C261C"/>
    <w:rsid w:val="003C2640"/>
    <w:rsid w:val="003C2B41"/>
    <w:rsid w:val="003C2BD3"/>
    <w:rsid w:val="003C30E5"/>
    <w:rsid w:val="003C36FF"/>
    <w:rsid w:val="003C3AD2"/>
    <w:rsid w:val="003C4408"/>
    <w:rsid w:val="003C4586"/>
    <w:rsid w:val="003C46A4"/>
    <w:rsid w:val="003C4A5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59D"/>
    <w:rsid w:val="003F0675"/>
    <w:rsid w:val="003F07C6"/>
    <w:rsid w:val="003F0956"/>
    <w:rsid w:val="003F19E0"/>
    <w:rsid w:val="003F1BCB"/>
    <w:rsid w:val="003F204B"/>
    <w:rsid w:val="003F21CF"/>
    <w:rsid w:val="003F2452"/>
    <w:rsid w:val="003F30A9"/>
    <w:rsid w:val="003F3D60"/>
    <w:rsid w:val="003F3F14"/>
    <w:rsid w:val="003F45FD"/>
    <w:rsid w:val="003F4844"/>
    <w:rsid w:val="003F48A1"/>
    <w:rsid w:val="003F49EB"/>
    <w:rsid w:val="003F4A66"/>
    <w:rsid w:val="003F4DB8"/>
    <w:rsid w:val="003F4E20"/>
    <w:rsid w:val="003F5859"/>
    <w:rsid w:val="003F5960"/>
    <w:rsid w:val="003F5BE0"/>
    <w:rsid w:val="003F5D43"/>
    <w:rsid w:val="003F5D81"/>
    <w:rsid w:val="003F603B"/>
    <w:rsid w:val="003F65B9"/>
    <w:rsid w:val="003F66BF"/>
    <w:rsid w:val="003F6762"/>
    <w:rsid w:val="003F6982"/>
    <w:rsid w:val="003F6AE4"/>
    <w:rsid w:val="003F6D1D"/>
    <w:rsid w:val="003F6F8A"/>
    <w:rsid w:val="003F7226"/>
    <w:rsid w:val="003F7263"/>
    <w:rsid w:val="003F784A"/>
    <w:rsid w:val="003F78D0"/>
    <w:rsid w:val="003F79C4"/>
    <w:rsid w:val="003F7AC3"/>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B26"/>
    <w:rsid w:val="00433B46"/>
    <w:rsid w:val="00434108"/>
    <w:rsid w:val="0043443D"/>
    <w:rsid w:val="004345A2"/>
    <w:rsid w:val="0043479C"/>
    <w:rsid w:val="00434937"/>
    <w:rsid w:val="00434A9E"/>
    <w:rsid w:val="00434BE5"/>
    <w:rsid w:val="00434D67"/>
    <w:rsid w:val="00434D9F"/>
    <w:rsid w:val="00434E4D"/>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5CD"/>
    <w:rsid w:val="00462714"/>
    <w:rsid w:val="00463897"/>
    <w:rsid w:val="00463ADD"/>
    <w:rsid w:val="00463AF3"/>
    <w:rsid w:val="00463CBE"/>
    <w:rsid w:val="00463EB6"/>
    <w:rsid w:val="00463F1F"/>
    <w:rsid w:val="00464288"/>
    <w:rsid w:val="00464374"/>
    <w:rsid w:val="00464382"/>
    <w:rsid w:val="00464457"/>
    <w:rsid w:val="00464658"/>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9C8"/>
    <w:rsid w:val="00484A8B"/>
    <w:rsid w:val="00484C04"/>
    <w:rsid w:val="00484EA6"/>
    <w:rsid w:val="0048504E"/>
    <w:rsid w:val="00485531"/>
    <w:rsid w:val="004857BC"/>
    <w:rsid w:val="00485A46"/>
    <w:rsid w:val="00485C2E"/>
    <w:rsid w:val="004865D1"/>
    <w:rsid w:val="0048670F"/>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B23"/>
    <w:rsid w:val="00494E81"/>
    <w:rsid w:val="00494F40"/>
    <w:rsid w:val="004950D8"/>
    <w:rsid w:val="00495535"/>
    <w:rsid w:val="00495637"/>
    <w:rsid w:val="0049582E"/>
    <w:rsid w:val="004959E2"/>
    <w:rsid w:val="00495F76"/>
    <w:rsid w:val="00496070"/>
    <w:rsid w:val="004967E6"/>
    <w:rsid w:val="00496848"/>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ABF"/>
    <w:rsid w:val="004A6B75"/>
    <w:rsid w:val="004A7016"/>
    <w:rsid w:val="004A7122"/>
    <w:rsid w:val="004A71BA"/>
    <w:rsid w:val="004A72FC"/>
    <w:rsid w:val="004A74F7"/>
    <w:rsid w:val="004A76EC"/>
    <w:rsid w:val="004A785B"/>
    <w:rsid w:val="004A7B59"/>
    <w:rsid w:val="004A7BAA"/>
    <w:rsid w:val="004A7D9A"/>
    <w:rsid w:val="004A7DEC"/>
    <w:rsid w:val="004A7F5B"/>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106"/>
    <w:rsid w:val="004B76E5"/>
    <w:rsid w:val="004C0140"/>
    <w:rsid w:val="004C0CE4"/>
    <w:rsid w:val="004C0CE8"/>
    <w:rsid w:val="004C1669"/>
    <w:rsid w:val="004C2090"/>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BFE"/>
    <w:rsid w:val="004C5E13"/>
    <w:rsid w:val="004C5E36"/>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F2"/>
    <w:rsid w:val="005050F0"/>
    <w:rsid w:val="005054EF"/>
    <w:rsid w:val="005056D3"/>
    <w:rsid w:val="00505D49"/>
    <w:rsid w:val="00505D63"/>
    <w:rsid w:val="00506670"/>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E1B"/>
    <w:rsid w:val="00544E66"/>
    <w:rsid w:val="00545166"/>
    <w:rsid w:val="0054567B"/>
    <w:rsid w:val="00545775"/>
    <w:rsid w:val="00545776"/>
    <w:rsid w:val="00545915"/>
    <w:rsid w:val="0054591C"/>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773"/>
    <w:rsid w:val="00562818"/>
    <w:rsid w:val="005628CE"/>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C2B"/>
    <w:rsid w:val="00584FA2"/>
    <w:rsid w:val="0058527F"/>
    <w:rsid w:val="005854BE"/>
    <w:rsid w:val="00585685"/>
    <w:rsid w:val="00585A29"/>
    <w:rsid w:val="00585CE3"/>
    <w:rsid w:val="00586348"/>
    <w:rsid w:val="005864E0"/>
    <w:rsid w:val="00586B5B"/>
    <w:rsid w:val="00586D11"/>
    <w:rsid w:val="00586E81"/>
    <w:rsid w:val="00586EDA"/>
    <w:rsid w:val="0058722F"/>
    <w:rsid w:val="0058790C"/>
    <w:rsid w:val="00587C8E"/>
    <w:rsid w:val="00590402"/>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589"/>
    <w:rsid w:val="005A29CF"/>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F31"/>
    <w:rsid w:val="005D007F"/>
    <w:rsid w:val="005D01E8"/>
    <w:rsid w:val="005D0604"/>
    <w:rsid w:val="005D0930"/>
    <w:rsid w:val="005D0D54"/>
    <w:rsid w:val="005D0F36"/>
    <w:rsid w:val="005D0F3E"/>
    <w:rsid w:val="005D0F44"/>
    <w:rsid w:val="005D1244"/>
    <w:rsid w:val="005D13B0"/>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DA3"/>
    <w:rsid w:val="0062403A"/>
    <w:rsid w:val="00624417"/>
    <w:rsid w:val="0062450E"/>
    <w:rsid w:val="00624F4B"/>
    <w:rsid w:val="006252CE"/>
    <w:rsid w:val="0062530F"/>
    <w:rsid w:val="006256AC"/>
    <w:rsid w:val="00626042"/>
    <w:rsid w:val="00626330"/>
    <w:rsid w:val="006263CD"/>
    <w:rsid w:val="006265C3"/>
    <w:rsid w:val="0062672C"/>
    <w:rsid w:val="00626A33"/>
    <w:rsid w:val="00626A5E"/>
    <w:rsid w:val="00626C06"/>
    <w:rsid w:val="00626E35"/>
    <w:rsid w:val="00626F5D"/>
    <w:rsid w:val="00627186"/>
    <w:rsid w:val="00627415"/>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A7"/>
    <w:rsid w:val="00661E59"/>
    <w:rsid w:val="00661E66"/>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F5B"/>
    <w:rsid w:val="0067560F"/>
    <w:rsid w:val="00675B4B"/>
    <w:rsid w:val="00675F66"/>
    <w:rsid w:val="00676063"/>
    <w:rsid w:val="006764FA"/>
    <w:rsid w:val="0067681B"/>
    <w:rsid w:val="00676EEB"/>
    <w:rsid w:val="0067701A"/>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7D5"/>
    <w:rsid w:val="006D0945"/>
    <w:rsid w:val="006D0AB6"/>
    <w:rsid w:val="006D2552"/>
    <w:rsid w:val="006D2573"/>
    <w:rsid w:val="006D257D"/>
    <w:rsid w:val="006D281B"/>
    <w:rsid w:val="006D2A7A"/>
    <w:rsid w:val="006D2BEA"/>
    <w:rsid w:val="006D2F62"/>
    <w:rsid w:val="006D304E"/>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A95"/>
    <w:rsid w:val="0070609C"/>
    <w:rsid w:val="007064B0"/>
    <w:rsid w:val="007065CA"/>
    <w:rsid w:val="00706667"/>
    <w:rsid w:val="007068F9"/>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6F7"/>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9ED"/>
    <w:rsid w:val="00762B3D"/>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D27"/>
    <w:rsid w:val="00797EAE"/>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2C2"/>
    <w:rsid w:val="007C235A"/>
    <w:rsid w:val="007C23AA"/>
    <w:rsid w:val="007C24CB"/>
    <w:rsid w:val="007C2646"/>
    <w:rsid w:val="007C2943"/>
    <w:rsid w:val="007C2C8F"/>
    <w:rsid w:val="007C2E0D"/>
    <w:rsid w:val="007C2ECA"/>
    <w:rsid w:val="007C308C"/>
    <w:rsid w:val="007C3172"/>
    <w:rsid w:val="007C361C"/>
    <w:rsid w:val="007C36F1"/>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E2B"/>
    <w:rsid w:val="007D609A"/>
    <w:rsid w:val="007D619F"/>
    <w:rsid w:val="007D6C43"/>
    <w:rsid w:val="007D6E98"/>
    <w:rsid w:val="007D6FA8"/>
    <w:rsid w:val="007D701B"/>
    <w:rsid w:val="007D7146"/>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AD"/>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606B"/>
    <w:rsid w:val="00806128"/>
    <w:rsid w:val="00806237"/>
    <w:rsid w:val="008062F4"/>
    <w:rsid w:val="00806503"/>
    <w:rsid w:val="008065F7"/>
    <w:rsid w:val="00806A74"/>
    <w:rsid w:val="008073AC"/>
    <w:rsid w:val="00807C98"/>
    <w:rsid w:val="00810CF4"/>
    <w:rsid w:val="00810DA7"/>
    <w:rsid w:val="008110BE"/>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673"/>
    <w:rsid w:val="00827A36"/>
    <w:rsid w:val="00827E7C"/>
    <w:rsid w:val="00827EEF"/>
    <w:rsid w:val="0083004C"/>
    <w:rsid w:val="008301DB"/>
    <w:rsid w:val="00830A55"/>
    <w:rsid w:val="00830C4D"/>
    <w:rsid w:val="00830D51"/>
    <w:rsid w:val="008311BE"/>
    <w:rsid w:val="00831209"/>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6EC"/>
    <w:rsid w:val="008349A4"/>
    <w:rsid w:val="00834AF5"/>
    <w:rsid w:val="00834B18"/>
    <w:rsid w:val="0083543D"/>
    <w:rsid w:val="008354B5"/>
    <w:rsid w:val="0083552A"/>
    <w:rsid w:val="008355FB"/>
    <w:rsid w:val="00835882"/>
    <w:rsid w:val="0083619A"/>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7CB0"/>
    <w:rsid w:val="00867E83"/>
    <w:rsid w:val="00867F3B"/>
    <w:rsid w:val="008703E3"/>
    <w:rsid w:val="00870448"/>
    <w:rsid w:val="00870941"/>
    <w:rsid w:val="00870B44"/>
    <w:rsid w:val="00870B86"/>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E5E"/>
    <w:rsid w:val="00890EBE"/>
    <w:rsid w:val="0089104F"/>
    <w:rsid w:val="00891364"/>
    <w:rsid w:val="00891632"/>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8FD"/>
    <w:rsid w:val="008B1FEC"/>
    <w:rsid w:val="008B24BC"/>
    <w:rsid w:val="008B2512"/>
    <w:rsid w:val="008B272C"/>
    <w:rsid w:val="008B301A"/>
    <w:rsid w:val="008B3143"/>
    <w:rsid w:val="008B331D"/>
    <w:rsid w:val="008B388A"/>
    <w:rsid w:val="008B392F"/>
    <w:rsid w:val="008B3972"/>
    <w:rsid w:val="008B3AF0"/>
    <w:rsid w:val="008B3E10"/>
    <w:rsid w:val="008B3E55"/>
    <w:rsid w:val="008B3F68"/>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270B"/>
    <w:rsid w:val="008C281F"/>
    <w:rsid w:val="008C290E"/>
    <w:rsid w:val="008C2FFA"/>
    <w:rsid w:val="008C305A"/>
    <w:rsid w:val="008C30EB"/>
    <w:rsid w:val="008C3198"/>
    <w:rsid w:val="008C3424"/>
    <w:rsid w:val="008C3508"/>
    <w:rsid w:val="008C37DA"/>
    <w:rsid w:val="008C380F"/>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E0"/>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FC3"/>
    <w:rsid w:val="00913FE1"/>
    <w:rsid w:val="00914096"/>
    <w:rsid w:val="009145BD"/>
    <w:rsid w:val="00914607"/>
    <w:rsid w:val="00914CDD"/>
    <w:rsid w:val="0091508D"/>
    <w:rsid w:val="00915132"/>
    <w:rsid w:val="0091590A"/>
    <w:rsid w:val="00915A48"/>
    <w:rsid w:val="00915C78"/>
    <w:rsid w:val="00916451"/>
    <w:rsid w:val="009167D9"/>
    <w:rsid w:val="00916848"/>
    <w:rsid w:val="00916AA7"/>
    <w:rsid w:val="00916D36"/>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333"/>
    <w:rsid w:val="009263E1"/>
    <w:rsid w:val="009263EB"/>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501"/>
    <w:rsid w:val="0093657D"/>
    <w:rsid w:val="009367F0"/>
    <w:rsid w:val="00936969"/>
    <w:rsid w:val="00936CFA"/>
    <w:rsid w:val="009370D8"/>
    <w:rsid w:val="009370FA"/>
    <w:rsid w:val="00937397"/>
    <w:rsid w:val="009407E1"/>
    <w:rsid w:val="00940B6A"/>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DA"/>
    <w:rsid w:val="00943B2D"/>
    <w:rsid w:val="00943E40"/>
    <w:rsid w:val="00943F0E"/>
    <w:rsid w:val="009442A5"/>
    <w:rsid w:val="009453CF"/>
    <w:rsid w:val="009454D1"/>
    <w:rsid w:val="00945542"/>
    <w:rsid w:val="0094561E"/>
    <w:rsid w:val="00945800"/>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7FD"/>
    <w:rsid w:val="0096689D"/>
    <w:rsid w:val="00966B46"/>
    <w:rsid w:val="00966BA1"/>
    <w:rsid w:val="00966C77"/>
    <w:rsid w:val="00966CC6"/>
    <w:rsid w:val="00966D19"/>
    <w:rsid w:val="00967146"/>
    <w:rsid w:val="009672F7"/>
    <w:rsid w:val="009673B4"/>
    <w:rsid w:val="009675D0"/>
    <w:rsid w:val="009676CA"/>
    <w:rsid w:val="00970052"/>
    <w:rsid w:val="0097006C"/>
    <w:rsid w:val="009708C2"/>
    <w:rsid w:val="0097092E"/>
    <w:rsid w:val="00970CD5"/>
    <w:rsid w:val="00970F42"/>
    <w:rsid w:val="00970FC5"/>
    <w:rsid w:val="00971220"/>
    <w:rsid w:val="0097191A"/>
    <w:rsid w:val="009719C8"/>
    <w:rsid w:val="00971AE0"/>
    <w:rsid w:val="00971C2B"/>
    <w:rsid w:val="00971CB7"/>
    <w:rsid w:val="009720E1"/>
    <w:rsid w:val="009725C4"/>
    <w:rsid w:val="0097260A"/>
    <w:rsid w:val="00972713"/>
    <w:rsid w:val="00972BDE"/>
    <w:rsid w:val="00972D1B"/>
    <w:rsid w:val="00973CCD"/>
    <w:rsid w:val="00973F41"/>
    <w:rsid w:val="0097453D"/>
    <w:rsid w:val="00974D9B"/>
    <w:rsid w:val="00974DA1"/>
    <w:rsid w:val="009753D4"/>
    <w:rsid w:val="00975536"/>
    <w:rsid w:val="0097577C"/>
    <w:rsid w:val="00975908"/>
    <w:rsid w:val="00975955"/>
    <w:rsid w:val="00975E0A"/>
    <w:rsid w:val="00975FDF"/>
    <w:rsid w:val="0097621C"/>
    <w:rsid w:val="009763FA"/>
    <w:rsid w:val="00976437"/>
    <w:rsid w:val="009764C8"/>
    <w:rsid w:val="00976878"/>
    <w:rsid w:val="00976954"/>
    <w:rsid w:val="009769BE"/>
    <w:rsid w:val="009769F6"/>
    <w:rsid w:val="009770C6"/>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90004"/>
    <w:rsid w:val="00990226"/>
    <w:rsid w:val="009903AC"/>
    <w:rsid w:val="00990887"/>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22F"/>
    <w:rsid w:val="009D731B"/>
    <w:rsid w:val="009D736B"/>
    <w:rsid w:val="009D75B7"/>
    <w:rsid w:val="009D76D0"/>
    <w:rsid w:val="009D7F80"/>
    <w:rsid w:val="009E0437"/>
    <w:rsid w:val="009E04A3"/>
    <w:rsid w:val="009E0731"/>
    <w:rsid w:val="009E0A3E"/>
    <w:rsid w:val="009E0BF1"/>
    <w:rsid w:val="009E0EC7"/>
    <w:rsid w:val="009E2344"/>
    <w:rsid w:val="009E253F"/>
    <w:rsid w:val="009E27E3"/>
    <w:rsid w:val="009E2AA4"/>
    <w:rsid w:val="009E2D76"/>
    <w:rsid w:val="009E306D"/>
    <w:rsid w:val="009E31DE"/>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69E"/>
    <w:rsid w:val="00A00C3D"/>
    <w:rsid w:val="00A01B1F"/>
    <w:rsid w:val="00A01F13"/>
    <w:rsid w:val="00A02148"/>
    <w:rsid w:val="00A02319"/>
    <w:rsid w:val="00A0296C"/>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F"/>
    <w:rsid w:val="00A12E2C"/>
    <w:rsid w:val="00A12F74"/>
    <w:rsid w:val="00A132A3"/>
    <w:rsid w:val="00A13702"/>
    <w:rsid w:val="00A13C38"/>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B3B"/>
    <w:rsid w:val="00A311CB"/>
    <w:rsid w:val="00A312CD"/>
    <w:rsid w:val="00A313F7"/>
    <w:rsid w:val="00A31640"/>
    <w:rsid w:val="00A31CBD"/>
    <w:rsid w:val="00A3236D"/>
    <w:rsid w:val="00A32839"/>
    <w:rsid w:val="00A32A67"/>
    <w:rsid w:val="00A32E41"/>
    <w:rsid w:val="00A32E51"/>
    <w:rsid w:val="00A33AE4"/>
    <w:rsid w:val="00A33B9F"/>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DC0"/>
    <w:rsid w:val="00A44FF6"/>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D1B"/>
    <w:rsid w:val="00A97EBC"/>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788"/>
    <w:rsid w:val="00B00828"/>
    <w:rsid w:val="00B00914"/>
    <w:rsid w:val="00B00BCD"/>
    <w:rsid w:val="00B00E9A"/>
    <w:rsid w:val="00B01039"/>
    <w:rsid w:val="00B01129"/>
    <w:rsid w:val="00B012AB"/>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AF4"/>
    <w:rsid w:val="00B41EE4"/>
    <w:rsid w:val="00B42434"/>
    <w:rsid w:val="00B42E75"/>
    <w:rsid w:val="00B42FB6"/>
    <w:rsid w:val="00B43096"/>
    <w:rsid w:val="00B43FD5"/>
    <w:rsid w:val="00B440D2"/>
    <w:rsid w:val="00B44551"/>
    <w:rsid w:val="00B446DD"/>
    <w:rsid w:val="00B449A6"/>
    <w:rsid w:val="00B450BB"/>
    <w:rsid w:val="00B450C5"/>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7FD"/>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2AB"/>
    <w:rsid w:val="00BB23D7"/>
    <w:rsid w:val="00BB2410"/>
    <w:rsid w:val="00BB2488"/>
    <w:rsid w:val="00BB2696"/>
    <w:rsid w:val="00BB28CF"/>
    <w:rsid w:val="00BB2E6A"/>
    <w:rsid w:val="00BB2F54"/>
    <w:rsid w:val="00BB3157"/>
    <w:rsid w:val="00BB3162"/>
    <w:rsid w:val="00BB3427"/>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765"/>
    <w:rsid w:val="00BC20E2"/>
    <w:rsid w:val="00BC2250"/>
    <w:rsid w:val="00BC2D5D"/>
    <w:rsid w:val="00BC3423"/>
    <w:rsid w:val="00BC3659"/>
    <w:rsid w:val="00BC3843"/>
    <w:rsid w:val="00BC3990"/>
    <w:rsid w:val="00BC399C"/>
    <w:rsid w:val="00BC39B5"/>
    <w:rsid w:val="00BC45AE"/>
    <w:rsid w:val="00BC4715"/>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A34"/>
    <w:rsid w:val="00C30C25"/>
    <w:rsid w:val="00C30F01"/>
    <w:rsid w:val="00C30F38"/>
    <w:rsid w:val="00C31057"/>
    <w:rsid w:val="00C31156"/>
    <w:rsid w:val="00C313AF"/>
    <w:rsid w:val="00C31CF8"/>
    <w:rsid w:val="00C31E07"/>
    <w:rsid w:val="00C321FB"/>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7A8D"/>
    <w:rsid w:val="00C80147"/>
    <w:rsid w:val="00C80219"/>
    <w:rsid w:val="00C8023D"/>
    <w:rsid w:val="00C80269"/>
    <w:rsid w:val="00C804F3"/>
    <w:rsid w:val="00C806D4"/>
    <w:rsid w:val="00C80978"/>
    <w:rsid w:val="00C809FD"/>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E6D"/>
    <w:rsid w:val="00CB115C"/>
    <w:rsid w:val="00CB11F4"/>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A5"/>
    <w:rsid w:val="00CE6892"/>
    <w:rsid w:val="00CE6A20"/>
    <w:rsid w:val="00CE6AF9"/>
    <w:rsid w:val="00CE6F87"/>
    <w:rsid w:val="00CE7232"/>
    <w:rsid w:val="00CE774D"/>
    <w:rsid w:val="00CE7860"/>
    <w:rsid w:val="00CE7972"/>
    <w:rsid w:val="00CE7D71"/>
    <w:rsid w:val="00CF021B"/>
    <w:rsid w:val="00CF025C"/>
    <w:rsid w:val="00CF0448"/>
    <w:rsid w:val="00CF0BF1"/>
    <w:rsid w:val="00CF0E47"/>
    <w:rsid w:val="00CF11EF"/>
    <w:rsid w:val="00CF12D8"/>
    <w:rsid w:val="00CF1CC9"/>
    <w:rsid w:val="00CF1DFB"/>
    <w:rsid w:val="00CF2185"/>
    <w:rsid w:val="00CF2187"/>
    <w:rsid w:val="00CF2535"/>
    <w:rsid w:val="00CF28A0"/>
    <w:rsid w:val="00CF2B07"/>
    <w:rsid w:val="00CF2D77"/>
    <w:rsid w:val="00CF31BC"/>
    <w:rsid w:val="00CF3768"/>
    <w:rsid w:val="00CF383E"/>
    <w:rsid w:val="00CF3B73"/>
    <w:rsid w:val="00CF3CCD"/>
    <w:rsid w:val="00CF3DB4"/>
    <w:rsid w:val="00CF3DBF"/>
    <w:rsid w:val="00CF469D"/>
    <w:rsid w:val="00CF49FD"/>
    <w:rsid w:val="00CF4F9A"/>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D22"/>
    <w:rsid w:val="00D100FC"/>
    <w:rsid w:val="00D1094C"/>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5014"/>
    <w:rsid w:val="00D15254"/>
    <w:rsid w:val="00D15280"/>
    <w:rsid w:val="00D154E9"/>
    <w:rsid w:val="00D1572E"/>
    <w:rsid w:val="00D15797"/>
    <w:rsid w:val="00D157AF"/>
    <w:rsid w:val="00D16873"/>
    <w:rsid w:val="00D16894"/>
    <w:rsid w:val="00D16B08"/>
    <w:rsid w:val="00D176C5"/>
    <w:rsid w:val="00D177A6"/>
    <w:rsid w:val="00D204FC"/>
    <w:rsid w:val="00D2098F"/>
    <w:rsid w:val="00D20BE0"/>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C01E1"/>
    <w:rsid w:val="00DC024F"/>
    <w:rsid w:val="00DC0F0B"/>
    <w:rsid w:val="00DC1354"/>
    <w:rsid w:val="00DC13BD"/>
    <w:rsid w:val="00DC1426"/>
    <w:rsid w:val="00DC172B"/>
    <w:rsid w:val="00DC1D2B"/>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A7F"/>
    <w:rsid w:val="00DC796A"/>
    <w:rsid w:val="00DC7C6A"/>
    <w:rsid w:val="00DC7E11"/>
    <w:rsid w:val="00DD02E3"/>
    <w:rsid w:val="00DD0401"/>
    <w:rsid w:val="00DD043B"/>
    <w:rsid w:val="00DD0992"/>
    <w:rsid w:val="00DD1277"/>
    <w:rsid w:val="00DD1431"/>
    <w:rsid w:val="00DD1CAB"/>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C9"/>
    <w:rsid w:val="00E41DEE"/>
    <w:rsid w:val="00E41FC3"/>
    <w:rsid w:val="00E42110"/>
    <w:rsid w:val="00E4255F"/>
    <w:rsid w:val="00E42A6A"/>
    <w:rsid w:val="00E43232"/>
    <w:rsid w:val="00E4331F"/>
    <w:rsid w:val="00E436E3"/>
    <w:rsid w:val="00E438B4"/>
    <w:rsid w:val="00E43E62"/>
    <w:rsid w:val="00E44874"/>
    <w:rsid w:val="00E44C21"/>
    <w:rsid w:val="00E44E32"/>
    <w:rsid w:val="00E45357"/>
    <w:rsid w:val="00E45489"/>
    <w:rsid w:val="00E455AF"/>
    <w:rsid w:val="00E45871"/>
    <w:rsid w:val="00E458EF"/>
    <w:rsid w:val="00E45A9F"/>
    <w:rsid w:val="00E45C1E"/>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7C8"/>
    <w:rsid w:val="00E55836"/>
    <w:rsid w:val="00E5587F"/>
    <w:rsid w:val="00E56485"/>
    <w:rsid w:val="00E56506"/>
    <w:rsid w:val="00E565F8"/>
    <w:rsid w:val="00E566EB"/>
    <w:rsid w:val="00E569C1"/>
    <w:rsid w:val="00E56A76"/>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CB3"/>
    <w:rsid w:val="00E75D12"/>
    <w:rsid w:val="00E75E53"/>
    <w:rsid w:val="00E7633B"/>
    <w:rsid w:val="00E7636E"/>
    <w:rsid w:val="00E767FB"/>
    <w:rsid w:val="00E769FF"/>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9CD"/>
    <w:rsid w:val="00E84B3C"/>
    <w:rsid w:val="00E8575C"/>
    <w:rsid w:val="00E858A2"/>
    <w:rsid w:val="00E85B8D"/>
    <w:rsid w:val="00E85C5F"/>
    <w:rsid w:val="00E85D93"/>
    <w:rsid w:val="00E85E07"/>
    <w:rsid w:val="00E85F2C"/>
    <w:rsid w:val="00E862D6"/>
    <w:rsid w:val="00E862F6"/>
    <w:rsid w:val="00E86878"/>
    <w:rsid w:val="00E868B5"/>
    <w:rsid w:val="00E870EE"/>
    <w:rsid w:val="00E87372"/>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CC"/>
    <w:rsid w:val="00ED0942"/>
    <w:rsid w:val="00ED0ADA"/>
    <w:rsid w:val="00ED1242"/>
    <w:rsid w:val="00ED150E"/>
    <w:rsid w:val="00ED165F"/>
    <w:rsid w:val="00ED1922"/>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654"/>
    <w:rsid w:val="00EE58BC"/>
    <w:rsid w:val="00EE5BA8"/>
    <w:rsid w:val="00EE6013"/>
    <w:rsid w:val="00EE62CF"/>
    <w:rsid w:val="00EE6347"/>
    <w:rsid w:val="00EE6513"/>
    <w:rsid w:val="00EE6539"/>
    <w:rsid w:val="00EE67B2"/>
    <w:rsid w:val="00EE680C"/>
    <w:rsid w:val="00EE6908"/>
    <w:rsid w:val="00EE6946"/>
    <w:rsid w:val="00EE6B2F"/>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C6D"/>
    <w:rsid w:val="00F27D9B"/>
    <w:rsid w:val="00F30FE2"/>
    <w:rsid w:val="00F31177"/>
    <w:rsid w:val="00F3168B"/>
    <w:rsid w:val="00F31A23"/>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8C6"/>
    <w:rsid w:val="00F3595D"/>
    <w:rsid w:val="00F35B6C"/>
    <w:rsid w:val="00F35D40"/>
    <w:rsid w:val="00F3635F"/>
    <w:rsid w:val="00F364E4"/>
    <w:rsid w:val="00F36510"/>
    <w:rsid w:val="00F36650"/>
    <w:rsid w:val="00F367AB"/>
    <w:rsid w:val="00F36AEE"/>
    <w:rsid w:val="00F36FE6"/>
    <w:rsid w:val="00F37024"/>
    <w:rsid w:val="00F371FA"/>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68B"/>
    <w:rsid w:val="00F63742"/>
    <w:rsid w:val="00F638E7"/>
    <w:rsid w:val="00F63D22"/>
    <w:rsid w:val="00F63F0D"/>
    <w:rsid w:val="00F641B9"/>
    <w:rsid w:val="00F64250"/>
    <w:rsid w:val="00F6444F"/>
    <w:rsid w:val="00F644E2"/>
    <w:rsid w:val="00F646A0"/>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A6D"/>
    <w:rsid w:val="00F70A74"/>
    <w:rsid w:val="00F70ED0"/>
    <w:rsid w:val="00F71A09"/>
    <w:rsid w:val="00F71C0E"/>
    <w:rsid w:val="00F71E11"/>
    <w:rsid w:val="00F721D4"/>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859"/>
    <w:rsid w:val="00FC6C18"/>
    <w:rsid w:val="00FC6D8A"/>
    <w:rsid w:val="00FC6FBA"/>
    <w:rsid w:val="00FC7076"/>
    <w:rsid w:val="00FC7110"/>
    <w:rsid w:val="00FC716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485"/>
    <w:rsid w:val="00FE14DC"/>
    <w:rsid w:val="00FE18FB"/>
    <w:rsid w:val="00FE1D3A"/>
    <w:rsid w:val="00FE1DA7"/>
    <w:rsid w:val="00FE1EED"/>
    <w:rsid w:val="00FE229D"/>
    <w:rsid w:val="00FE2BA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9D2624"/>
    <w:rsid w:val="0839511A"/>
    <w:rsid w:val="0A092283"/>
    <w:rsid w:val="0B256DC8"/>
    <w:rsid w:val="0C547201"/>
    <w:rsid w:val="0EA409E5"/>
    <w:rsid w:val="137700CF"/>
    <w:rsid w:val="15847DAF"/>
    <w:rsid w:val="17C25E73"/>
    <w:rsid w:val="18327578"/>
    <w:rsid w:val="1A8B0292"/>
    <w:rsid w:val="1AE72343"/>
    <w:rsid w:val="1CDA76D6"/>
    <w:rsid w:val="202222F1"/>
    <w:rsid w:val="219919F0"/>
    <w:rsid w:val="235D0D29"/>
    <w:rsid w:val="25222631"/>
    <w:rsid w:val="258C1362"/>
    <w:rsid w:val="266D40F6"/>
    <w:rsid w:val="29565F0F"/>
    <w:rsid w:val="3140197F"/>
    <w:rsid w:val="317A24C2"/>
    <w:rsid w:val="329005AE"/>
    <w:rsid w:val="3307027A"/>
    <w:rsid w:val="33743B62"/>
    <w:rsid w:val="3D4A24F3"/>
    <w:rsid w:val="3DE368E7"/>
    <w:rsid w:val="3E1A2621"/>
    <w:rsid w:val="409F0B9B"/>
    <w:rsid w:val="42660B19"/>
    <w:rsid w:val="42794C75"/>
    <w:rsid w:val="4A1369F5"/>
    <w:rsid w:val="4AAC40CA"/>
    <w:rsid w:val="4EC6454A"/>
    <w:rsid w:val="503C1736"/>
    <w:rsid w:val="524A0C9D"/>
    <w:rsid w:val="5CE20108"/>
    <w:rsid w:val="5D94173A"/>
    <w:rsid w:val="60416893"/>
    <w:rsid w:val="653536B4"/>
    <w:rsid w:val="6672542F"/>
    <w:rsid w:val="667F6359"/>
    <w:rsid w:val="6A6A7507"/>
    <w:rsid w:val="6CCE3DE5"/>
    <w:rsid w:val="6DC147A8"/>
    <w:rsid w:val="6E8A766D"/>
    <w:rsid w:val="6EE967A7"/>
    <w:rsid w:val="71B83104"/>
    <w:rsid w:val="759807C6"/>
    <w:rsid w:val="787D213D"/>
    <w:rsid w:val="78FD6EF0"/>
    <w:rsid w:val="7C7C095E"/>
    <w:rsid w:val="7EA31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3BC6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EE9"/>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0"/>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qFormat/>
    <w:pPr>
      <w:keepNext/>
      <w:keepLines/>
      <w:numPr>
        <w:ilvl w:val="5"/>
        <w:numId w:val="1"/>
      </w:numPr>
      <w:tabs>
        <w:tab w:val="left" w:pos="1152"/>
      </w:tabs>
      <w:spacing w:before="120"/>
      <w:outlineLvl w:val="5"/>
    </w:pPr>
    <w:rPr>
      <w:rFonts w:ascii="Arial" w:hAnsi="Arial" w:cs="Arial"/>
    </w:rPr>
  </w:style>
  <w:style w:type="paragraph" w:styleId="7">
    <w:name w:val="heading 7"/>
    <w:basedOn w:val="a"/>
    <w:next w:val="a"/>
    <w:qFormat/>
    <w:pPr>
      <w:keepNext/>
      <w:keepLines/>
      <w:numPr>
        <w:ilvl w:val="6"/>
        <w:numId w:val="1"/>
      </w:numPr>
      <w:tabs>
        <w:tab w:val="left" w:pos="1296"/>
      </w:tabs>
      <w:spacing w:before="120"/>
      <w:outlineLvl w:val="6"/>
    </w:pPr>
    <w:rPr>
      <w:rFonts w:ascii="Arial" w:hAnsi="Arial" w:cs="Arial"/>
    </w:rPr>
  </w:style>
  <w:style w:type="paragraph" w:styleId="8">
    <w:name w:val="heading 8"/>
    <w:basedOn w:val="7"/>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cs="Arial"/>
      <w:sz w:val="36"/>
      <w:szCs w:val="36"/>
      <w:lang w:val="en-GB"/>
    </w:rPr>
  </w:style>
  <w:style w:type="character" w:customStyle="1" w:styleId="20">
    <w:name w:val="标题 2 字符"/>
    <w:link w:val="2"/>
    <w:rPr>
      <w:rFonts w:ascii="Arial" w:hAnsi="Arial"/>
      <w:sz w:val="32"/>
      <w:szCs w:val="32"/>
      <w:lang w:val="en-GB"/>
    </w:rPr>
  </w:style>
  <w:style w:type="character" w:customStyle="1" w:styleId="30">
    <w:name w:val="标题 3 字符"/>
    <w:link w:val="3"/>
    <w:rPr>
      <w:rFonts w:ascii="Arial" w:hAnsi="Arial" w:cs="Arial"/>
      <w:sz w:val="28"/>
      <w:szCs w:val="28"/>
      <w:lang w:val="en-GB"/>
    </w:rPr>
  </w:style>
  <w:style w:type="character" w:customStyle="1" w:styleId="40">
    <w:name w:val="标题 4 字符"/>
    <w:link w:val="4"/>
    <w:rPr>
      <w:rFonts w:ascii="Arial" w:hAnsi="Arial"/>
      <w:sz w:val="24"/>
      <w:szCs w:val="24"/>
      <w:lang w:val="en-GB"/>
    </w:rPr>
  </w:style>
  <w:style w:type="paragraph" w:styleId="31">
    <w:name w:val="List 3"/>
    <w:basedOn w:val="a"/>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pPr>
      <w:shd w:val="clear" w:color="auto" w:fill="000080"/>
    </w:pPr>
    <w:rPr>
      <w:rFonts w:ascii="Tahoma" w:hAnsi="Tahoma" w:cs="Tahoma"/>
      <w:sz w:val="20"/>
    </w:rPr>
  </w:style>
  <w:style w:type="paragraph" w:styleId="a5">
    <w:name w:val="annotation text"/>
    <w:basedOn w:val="a"/>
    <w:link w:val="a6"/>
    <w:qFormat/>
  </w:style>
  <w:style w:type="character" w:customStyle="1" w:styleId="a6">
    <w:name w:val="批注文字 字符"/>
    <w:link w:val="a5"/>
    <w:qFormat/>
    <w:rPr>
      <w:sz w:val="22"/>
      <w:lang w:val="en-GB"/>
    </w:rPr>
  </w:style>
  <w:style w:type="paragraph" w:styleId="a7">
    <w:name w:val="Body Text"/>
    <w:basedOn w:val="a"/>
    <w:pPr>
      <w:widowControl w:val="0"/>
      <w:overflowPunct/>
      <w:autoSpaceDE/>
      <w:autoSpaceDN/>
      <w:adjustRightInd/>
      <w:spacing w:line="240" w:lineRule="auto"/>
      <w:textAlignment w:val="auto"/>
    </w:pPr>
    <w:rPr>
      <w:kern w:val="2"/>
      <w:sz w:val="21"/>
      <w:szCs w:val="24"/>
      <w:lang w:val="en-US"/>
    </w:rPr>
  </w:style>
  <w:style w:type="paragraph" w:styleId="21">
    <w:name w:val="List 2"/>
    <w:basedOn w:val="a8"/>
    <w:pPr>
      <w:ind w:leftChars="200" w:left="100"/>
    </w:pPr>
  </w:style>
  <w:style w:type="paragraph" w:styleId="a8">
    <w:name w:val="List"/>
    <w:basedOn w:val="a"/>
    <w:pPr>
      <w:ind w:left="200" w:hangingChars="200" w:hanging="200"/>
    </w:pPr>
  </w:style>
  <w:style w:type="paragraph" w:styleId="51">
    <w:name w:val="toc 5"/>
    <w:basedOn w:val="a"/>
    <w:next w:val="a"/>
    <w:pPr>
      <w:ind w:left="880"/>
    </w:pPr>
  </w:style>
  <w:style w:type="paragraph" w:styleId="a9">
    <w:name w:val="Balloon Text"/>
    <w:basedOn w:val="a"/>
    <w:semiHidden/>
    <w:rPr>
      <w:rFonts w:ascii="Tahoma" w:hAnsi="Tahoma" w:cs="Tahoma"/>
      <w:sz w:val="16"/>
      <w:szCs w:val="16"/>
    </w:rPr>
  </w:style>
  <w:style w:type="paragraph" w:styleId="aa">
    <w:name w:val="footer"/>
    <w:basedOn w:val="ab"/>
    <w:pPr>
      <w:widowControl w:val="0"/>
      <w:spacing w:after="0"/>
      <w:jc w:val="center"/>
    </w:pPr>
    <w:rPr>
      <w:rFonts w:ascii="Arial" w:hAnsi="Arial" w:cs="Arial"/>
      <w:b/>
      <w:bCs/>
      <w:i/>
      <w:iCs/>
      <w:sz w:val="18"/>
      <w:szCs w:val="18"/>
      <w:lang w:val="en-US"/>
    </w:rPr>
  </w:style>
  <w:style w:type="paragraph" w:styleId="ab">
    <w:name w:val="header"/>
    <w:basedOn w:val="a"/>
    <w:link w:val="ac"/>
    <w:pPr>
      <w:tabs>
        <w:tab w:val="center" w:pos="4320"/>
        <w:tab w:val="right" w:pos="8640"/>
      </w:tabs>
    </w:pPr>
  </w:style>
  <w:style w:type="character" w:customStyle="1" w:styleId="ac">
    <w:name w:val="页眉 字符"/>
    <w:link w:val="ab"/>
    <w:rPr>
      <w:sz w:val="22"/>
      <w:lang w:val="en-GB"/>
    </w:rPr>
  </w:style>
  <w:style w:type="paragraph" w:styleId="12">
    <w:name w:val="toc 1"/>
    <w:basedOn w:val="a"/>
    <w:next w:val="a"/>
  </w:style>
  <w:style w:type="paragraph" w:styleId="5">
    <w:name w:val="List Number 5"/>
    <w:basedOn w:val="a"/>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d">
    <w:name w:val="footnote text"/>
    <w:basedOn w:val="a"/>
    <w:semiHidden/>
    <w:rPr>
      <w:sz w:val="20"/>
    </w:rPr>
  </w:style>
  <w:style w:type="paragraph" w:styleId="60">
    <w:name w:val="toc 6"/>
    <w:basedOn w:val="51"/>
    <w:next w:val="a"/>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pPr>
      <w:ind w:leftChars="600" w:left="100" w:hangingChars="200" w:hanging="200"/>
      <w:contextualSpacing/>
    </w:pPr>
  </w:style>
  <w:style w:type="paragraph" w:styleId="ae">
    <w:name w:val="Normal (Web)"/>
    <w:basedOn w:val="a"/>
    <w:uiPriority w:val="99"/>
    <w:unhideWhenUse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
    <w:name w:val="annotation subject"/>
    <w:basedOn w:val="a5"/>
    <w:next w:val="a5"/>
    <w:semiHidden/>
    <w:rPr>
      <w:b/>
      <w:bCs/>
    </w:rPr>
  </w:style>
  <w:style w:type="table" w:styleId="af0">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rPr>
      <w:color w:val="000000"/>
    </w:rPr>
    <w:tblPr>
      <w:tblStyleRowBandSize w:val="1"/>
      <w:tblStyleColBandSize w:val="1"/>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F79646"/>
          <w:tl2br w:val="nil"/>
          <w:tr2bl w:val="nil"/>
        </w:tcBorders>
      </w:tcPr>
    </w:tblStylePr>
  </w:style>
  <w:style w:type="character" w:styleId="af1">
    <w:name w:val="Strong"/>
    <w:uiPriority w:val="22"/>
    <w:qFormat/>
    <w:rPr>
      <w:b/>
      <w:bCs/>
    </w:rPr>
  </w:style>
  <w:style w:type="character" w:styleId="af2">
    <w:name w:val="page numbe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styleId="af6">
    <w:name w:val="footnote reference"/>
    <w:semiHidden/>
    <w:rPr>
      <w:vertAlign w:val="superscript"/>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8"/>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rPr>
      <w:rFonts w:ascii="Courier New" w:hAnsi="Courier New"/>
      <w:sz w:val="16"/>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rPr>
      <w:rFonts w:eastAsia="MS Mincho"/>
      <w:bCs/>
      <w:szCs w:val="24"/>
      <w:lang w:val="en-GB" w:eastAsia="en-GB"/>
    </w:rPr>
  </w:style>
  <w:style w:type="paragraph" w:customStyle="1" w:styleId="Doc-text">
    <w:name w:val="Doc-text"/>
    <w:basedOn w:val="a"/>
    <w:link w:val="Doc-textChar"/>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rPr>
      <w:lang w:val="en-GB" w:eastAsia="ja-JP"/>
    </w:rPr>
  </w:style>
  <w:style w:type="character" w:customStyle="1" w:styleId="B4Char">
    <w:name w:val="B4 Char"/>
    <w:link w:val="B4"/>
    <w:rPr>
      <w:rFonts w:eastAsia="宋体"/>
      <w:lang w:val="en-GB" w:eastAsia="ja-JP"/>
    </w:rPr>
  </w:style>
  <w:style w:type="paragraph" w:customStyle="1" w:styleId="B4">
    <w:name w:val="B4"/>
    <w:basedOn w:val="41"/>
    <w:link w:val="B4Char"/>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rPr>
      <w:b/>
      <w:sz w:val="24"/>
      <w:lang w:val="en-GB" w:eastAsia="zh-CN" w:bidi="ar-SA"/>
    </w:rPr>
  </w:style>
  <w:style w:type="paragraph" w:customStyle="1" w:styleId="3GPPHeader">
    <w:name w:val="3GPP_Header"/>
    <w:basedOn w:val="a"/>
    <w:link w:val="3GPPHeaderChar"/>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style>
  <w:style w:type="paragraph" w:customStyle="1" w:styleId="Char2CharCharCharCharCharCharCharCharCharCharCharCharCharCharCarCarChar">
    <w:name w:val="Char2 Char Char Char Char Char Char Char Char Char Char Char Char Char Char Car Car Char"/>
    <w:semiHidden/>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rPr>
      <w:rFonts w:ascii="Times New Roman" w:hAnsi="Times New Roman"/>
      <w:b/>
      <w:bCs/>
      <w:sz w:val="22"/>
      <w:szCs w:val="22"/>
    </w:rPr>
  </w:style>
  <w:style w:type="paragraph" w:customStyle="1" w:styleId="Doc-title">
    <w:name w:val="Doc-title"/>
    <w:basedOn w:val="a"/>
    <w:next w:val="Doc-text"/>
    <w:pPr>
      <w:numPr>
        <w:numId w:val="4"/>
      </w:numPr>
      <w:tabs>
        <w:tab w:val="left"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pPr>
      <w:keepNext/>
      <w:numPr>
        <w:numId w:val="5"/>
      </w:numPr>
      <w:tabs>
        <w:tab w:val="left" w:pos="851"/>
      </w:tabs>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pPr>
      <w:keepNext/>
      <w:keepLines/>
      <w:numPr>
        <w:ilvl w:val="7"/>
        <w:numId w:val="5"/>
      </w:numPr>
      <w:tabs>
        <w:tab w:val="left" w:pos="5760"/>
      </w:tabs>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1"/>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pPr>
      <w:keepNext/>
      <w:widowControl w:val="0"/>
      <w:overflowPunct/>
      <w:snapToGrid w:val="0"/>
      <w:spacing w:after="0" w:line="300" w:lineRule="auto"/>
      <w:textAlignment w:val="auto"/>
    </w:pPr>
    <w:rPr>
      <w:sz w:val="21"/>
      <w:szCs w:val="21"/>
      <w:lang w:val="en-US"/>
    </w:rPr>
  </w:style>
  <w:style w:type="paragraph" w:customStyle="1" w:styleId="Reference">
    <w:name w:val="Reference"/>
    <w:pPr>
      <w:numPr>
        <w:numId w:val="6"/>
      </w:numPr>
      <w:tabs>
        <w:tab w:val="left" w:pos="360"/>
      </w:tabs>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rPr>
      <w:sz w:val="22"/>
      <w:lang w:val="en-GB"/>
    </w:rPr>
  </w:style>
  <w:style w:type="paragraph" w:customStyle="1" w:styleId="EW">
    <w:name w:val="EW"/>
    <w:basedOn w:val="EX"/>
    <w:pPr>
      <w:spacing w:after="0"/>
    </w:pPr>
  </w:style>
  <w:style w:type="paragraph" w:customStyle="1" w:styleId="CharCharCharCharCharCharCharCharCharCharCharCharCharCharCharChar">
    <w:name w:val="Char Char Char Char Char Char Char Char Char Char Char Char Char Char Char Char"/>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pPr>
      <w:jc w:val="right"/>
    </w:pPr>
    <w:rPr>
      <w:rFonts w:ascii="Arial" w:hAnsi="Arial"/>
    </w:rPr>
  </w:style>
  <w:style w:type="character" w:customStyle="1" w:styleId="apple-converted-space">
    <w:name w:val="apple-converted-space"/>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13"/>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character" w:customStyle="1" w:styleId="13">
    <w:name w:val="列出段落 字符1"/>
    <w:aliases w:val="- Bullets 字符1,リスト段落 字符1,?? ?? 字符1,????? 字符1,???? 字符1,Lista1 字符1,列出段落1 字符,中等深浅网格 1 - 着色 21 字符,¥ê¥¹¥È¶ÎÂä 字符,¥¡¡¡¡ì¬º¥¹¥È¶ÎÂä 字符,ÁÐ³ö¶ÎÂä 字符,列表段落1 字符,—ño’i—Ž 字符,1st level - Bullet List Paragraph 字符1,Lettre d'introduction 字符1,Paragrafo elenco 字符1"/>
    <w:link w:val="af7"/>
    <w:uiPriority w:val="34"/>
    <w:qFormat/>
    <w:locked/>
    <w:rPr>
      <w:rFonts w:ascii="Calibri" w:hAnsi="Calibri"/>
      <w:kern w:val="2"/>
      <w:sz w:val="21"/>
      <w:szCs w:val="22"/>
    </w:rPr>
  </w:style>
  <w:style w:type="character" w:customStyle="1" w:styleId="af8">
    <w:name w:val="列出段落 字符"/>
    <w:aliases w:val="목록 단 字符,-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rPr>
      <w:rFonts w:eastAsia="Times New Roman"/>
      <w:lang w:eastAsia="en-US"/>
    </w:rPr>
  </w:style>
  <w:style w:type="paragraph" w:customStyle="1" w:styleId="Agreement">
    <w:name w:val="Agreement"/>
    <w:basedOn w:val="a"/>
    <w:next w:val="Doc-text2"/>
    <w:uiPriority w:val="99"/>
    <w:pPr>
      <w:numPr>
        <w:numId w:val="8"/>
      </w:numPr>
      <w:tabs>
        <w:tab w:val="left" w:pos="1619"/>
      </w:tabs>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styleId="af9">
    <w:name w:val="Revision"/>
    <w:uiPriority w:val="99"/>
    <w:unhideWhenUsed/>
    <w:rPr>
      <w:sz w:val="22"/>
      <w:lang w:val="en-GB"/>
    </w:rPr>
  </w:style>
  <w:style w:type="character" w:customStyle="1" w:styleId="NOChar">
    <w:name w:val="NO Char"/>
    <w:qFormat/>
    <w:rPr>
      <w:rFonts w:eastAsia="Times New Roman"/>
    </w:rPr>
  </w:style>
  <w:style w:type="paragraph" w:customStyle="1" w:styleId="ListParagraph3">
    <w:name w:val="List Paragraph3"/>
    <w:basedOn w:val="a"/>
    <w:pPr>
      <w:spacing w:before="100" w:beforeAutospacing="1" w:after="180" w:line="240" w:lineRule="auto"/>
      <w:ind w:left="720"/>
      <w:contextualSpacing/>
      <w:jc w:val="left"/>
    </w:pPr>
    <w:rPr>
      <w:sz w:val="24"/>
      <w:szCs w:val="24"/>
      <w:lang w:val="en-US"/>
    </w:rPr>
  </w:style>
  <w:style w:type="paragraph" w:customStyle="1" w:styleId="B1">
    <w:name w:val="B1+"/>
    <w:basedOn w:val="B10"/>
    <w:pPr>
      <w:numPr>
        <w:numId w:val="9"/>
      </w:numPr>
      <w:tabs>
        <w:tab w:val="left" w:pos="737"/>
      </w:tabs>
      <w:overflowPunct w:val="0"/>
      <w:autoSpaceDE w:val="0"/>
      <w:autoSpaceDN w:val="0"/>
      <w:adjustRightInd w:val="0"/>
      <w:jc w:val="left"/>
      <w:textAlignment w:val="baseline"/>
    </w:pPr>
    <w:rPr>
      <w:rFonts w:eastAsia="Times New Roman"/>
      <w:lang w:eastAsia="ko-KR"/>
    </w:rPr>
  </w:style>
  <w:style w:type="paragraph" w:customStyle="1" w:styleId="14">
    <w:name w:val="正文1"/>
    <w:pPr>
      <w:widowControl w:val="0"/>
      <w:spacing w:before="100" w:after="100" w:line="360" w:lineRule="atLeast"/>
      <w:jc w:val="both"/>
    </w:pPr>
    <w:rPr>
      <w:kern w:val="2"/>
      <w:sz w:val="21"/>
      <w:szCs w:val="21"/>
    </w:rPr>
  </w:style>
  <w:style w:type="paragraph" w:customStyle="1" w:styleId="ProposalStyle">
    <w:name w:val="ProposalStyle"/>
    <w:basedOn w:val="af7"/>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rPr>
      <w:rFonts w:ascii="Calibri" w:eastAsia="等线" w:hAnsi="Calibri" w:cs="Calibri"/>
      <w:b/>
      <w:lang w:val="en-GB"/>
    </w:rPr>
  </w:style>
  <w:style w:type="paragraph" w:customStyle="1" w:styleId="ObservationStyle">
    <w:name w:val="ObservationStyle"/>
    <w:basedOn w:val="12"/>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rPr>
      <w:rFonts w:ascii="Calibri" w:eastAsia="等线" w:hAnsi="Calibri"/>
      <w:b/>
      <w:bCs/>
      <w:szCs w:val="22"/>
      <w:lang w:val="en-US" w:eastAsia="zh-CN"/>
    </w:rPr>
  </w:style>
  <w:style w:type="paragraph" w:customStyle="1" w:styleId="msolistparagraph0">
    <w:name w:val="msolistparagraph"/>
    <w:basedOn w:val="a"/>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rPr>
      <w:rFonts w:ascii="Gulim" w:eastAsia="Gulim" w:hAnsi="Gulim" w:cs="Gulim" w:hint="eastAsia"/>
      <w:b/>
      <w:bCs/>
      <w:sz w:val="28"/>
      <w:szCs w:val="28"/>
    </w:rPr>
  </w:style>
  <w:style w:type="table" w:customStyle="1" w:styleId="TableNormal1">
    <w:name w:val="Table Normal1"/>
    <w:basedOn w:val="a1"/>
    <w:semiHidden/>
    <w:tblPr/>
  </w:style>
  <w:style w:type="paragraph" w:customStyle="1" w:styleId="Discussion">
    <w:name w:val="Discussion"/>
    <w:basedOn w:val="a"/>
    <w:qFormat/>
    <w:rsid w:val="0074073D"/>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rsid w:val="00D05E2D"/>
    <w:rPr>
      <w:rFonts w:eastAsia="Times New Roman"/>
    </w:rPr>
  </w:style>
  <w:style w:type="paragraph" w:customStyle="1" w:styleId="afa">
    <w:name w:val="段"/>
    <w:link w:val="Char0"/>
    <w:qFormat/>
    <w:rsid w:val="009C5944"/>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a"/>
    <w:qFormat/>
    <w:rsid w:val="009C5944"/>
    <w:rPr>
      <w:rFonts w:ascii="宋体" w:eastAsia="等线"/>
      <w:sz w:val="21"/>
    </w:rPr>
  </w:style>
  <w:style w:type="character" w:customStyle="1" w:styleId="ZGSM">
    <w:name w:val="ZGSM"/>
    <w:rsid w:val="009A5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910593">
      <w:bodyDiv w:val="1"/>
      <w:marLeft w:val="0"/>
      <w:marRight w:val="0"/>
      <w:marTop w:val="0"/>
      <w:marBottom w:val="0"/>
      <w:divBdr>
        <w:top w:val="none" w:sz="0" w:space="0" w:color="auto"/>
        <w:left w:val="none" w:sz="0" w:space="0" w:color="auto"/>
        <w:bottom w:val="none" w:sz="0" w:space="0" w:color="auto"/>
        <w:right w:val="none" w:sz="0" w:space="0" w:color="auto"/>
      </w:divBdr>
    </w:div>
    <w:div w:id="1284579762">
      <w:bodyDiv w:val="1"/>
      <w:marLeft w:val="0"/>
      <w:marRight w:val="0"/>
      <w:marTop w:val="0"/>
      <w:marBottom w:val="0"/>
      <w:divBdr>
        <w:top w:val="none" w:sz="0" w:space="0" w:color="auto"/>
        <w:left w:val="none" w:sz="0" w:space="0" w:color="auto"/>
        <w:bottom w:val="none" w:sz="0" w:space="0" w:color="auto"/>
        <w:right w:val="none" w:sz="0" w:space="0" w:color="auto"/>
      </w:divBdr>
    </w:div>
    <w:div w:id="1679312875">
      <w:bodyDiv w:val="1"/>
      <w:marLeft w:val="0"/>
      <w:marRight w:val="0"/>
      <w:marTop w:val="0"/>
      <w:marBottom w:val="0"/>
      <w:divBdr>
        <w:top w:val="none" w:sz="0" w:space="0" w:color="auto"/>
        <w:left w:val="none" w:sz="0" w:space="0" w:color="auto"/>
        <w:bottom w:val="none" w:sz="0" w:space="0" w:color="auto"/>
        <w:right w:val="none" w:sz="0" w:space="0" w:color="auto"/>
      </w:divBdr>
    </w:div>
    <w:div w:id="1850411215">
      <w:bodyDiv w:val="1"/>
      <w:marLeft w:val="0"/>
      <w:marRight w:val="0"/>
      <w:marTop w:val="0"/>
      <w:marBottom w:val="0"/>
      <w:divBdr>
        <w:top w:val="none" w:sz="0" w:space="0" w:color="auto"/>
        <w:left w:val="none" w:sz="0" w:space="0" w:color="auto"/>
        <w:bottom w:val="none" w:sz="0" w:space="0" w:color="auto"/>
        <w:right w:val="none" w:sz="0" w:space="0" w:color="auto"/>
      </w:divBdr>
    </w:div>
    <w:div w:id="2003199529">
      <w:bodyDiv w:val="1"/>
      <w:marLeft w:val="0"/>
      <w:marRight w:val="0"/>
      <w:marTop w:val="0"/>
      <w:marBottom w:val="0"/>
      <w:divBdr>
        <w:top w:val="none" w:sz="0" w:space="0" w:color="auto"/>
        <w:left w:val="none" w:sz="0" w:space="0" w:color="auto"/>
        <w:bottom w:val="none" w:sz="0" w:space="0" w:color="auto"/>
        <w:right w:val="none" w:sz="0" w:space="0" w:color="auto"/>
      </w:divBdr>
    </w:div>
    <w:div w:id="2039429635">
      <w:bodyDiv w:val="1"/>
      <w:marLeft w:val="0"/>
      <w:marRight w:val="0"/>
      <w:marTop w:val="0"/>
      <w:marBottom w:val="0"/>
      <w:divBdr>
        <w:top w:val="none" w:sz="0" w:space="0" w:color="auto"/>
        <w:left w:val="none" w:sz="0" w:space="0" w:color="auto"/>
        <w:bottom w:val="none" w:sz="0" w:space="0" w:color="auto"/>
        <w:right w:val="none" w:sz="0" w:space="0" w:color="auto"/>
      </w:divBdr>
    </w:div>
    <w:div w:id="2093887692">
      <w:bodyDiv w:val="1"/>
      <w:marLeft w:val="0"/>
      <w:marRight w:val="0"/>
      <w:marTop w:val="0"/>
      <w:marBottom w:val="0"/>
      <w:divBdr>
        <w:top w:val="none" w:sz="0" w:space="0" w:color="auto"/>
        <w:left w:val="none" w:sz="0" w:space="0" w:color="auto"/>
        <w:bottom w:val="none" w:sz="0" w:space="0" w:color="auto"/>
        <w:right w:val="none" w:sz="0" w:space="0" w:color="auto"/>
      </w:divBdr>
      <w:divsChild>
        <w:div w:id="447746530">
          <w:marLeft w:val="0"/>
          <w:marRight w:val="0"/>
          <w:marTop w:val="0"/>
          <w:marBottom w:val="0"/>
          <w:divBdr>
            <w:top w:val="none" w:sz="0" w:space="0" w:color="auto"/>
            <w:left w:val="none" w:sz="0" w:space="0" w:color="auto"/>
            <w:bottom w:val="none" w:sz="0" w:space="0" w:color="auto"/>
            <w:right w:val="none" w:sz="0" w:space="0" w:color="auto"/>
          </w:divBdr>
        </w:div>
        <w:div w:id="585846083">
          <w:marLeft w:val="0"/>
          <w:marRight w:val="0"/>
          <w:marTop w:val="0"/>
          <w:marBottom w:val="0"/>
          <w:divBdr>
            <w:top w:val="none" w:sz="0" w:space="0" w:color="auto"/>
            <w:left w:val="none" w:sz="0" w:space="0" w:color="auto"/>
            <w:bottom w:val="none" w:sz="0" w:space="0" w:color="auto"/>
            <w:right w:val="none" w:sz="0" w:space="0" w:color="auto"/>
          </w:divBdr>
        </w:div>
        <w:div w:id="605623957">
          <w:marLeft w:val="0"/>
          <w:marRight w:val="0"/>
          <w:marTop w:val="0"/>
          <w:marBottom w:val="0"/>
          <w:divBdr>
            <w:top w:val="none" w:sz="0" w:space="0" w:color="auto"/>
            <w:left w:val="none" w:sz="0" w:space="0" w:color="auto"/>
            <w:bottom w:val="none" w:sz="0" w:space="0" w:color="auto"/>
            <w:right w:val="none" w:sz="0" w:space="0" w:color="auto"/>
          </w:divBdr>
        </w:div>
        <w:div w:id="711467015">
          <w:marLeft w:val="0"/>
          <w:marRight w:val="0"/>
          <w:marTop w:val="0"/>
          <w:marBottom w:val="0"/>
          <w:divBdr>
            <w:top w:val="none" w:sz="0" w:space="0" w:color="auto"/>
            <w:left w:val="none" w:sz="0" w:space="0" w:color="auto"/>
            <w:bottom w:val="none" w:sz="0" w:space="0" w:color="auto"/>
            <w:right w:val="none" w:sz="0" w:space="0" w:color="auto"/>
          </w:divBdr>
        </w:div>
        <w:div w:id="995720712">
          <w:marLeft w:val="0"/>
          <w:marRight w:val="0"/>
          <w:marTop w:val="0"/>
          <w:marBottom w:val="0"/>
          <w:divBdr>
            <w:top w:val="none" w:sz="0" w:space="0" w:color="auto"/>
            <w:left w:val="none" w:sz="0" w:space="0" w:color="auto"/>
            <w:bottom w:val="none" w:sz="0" w:space="0" w:color="auto"/>
            <w:right w:val="none" w:sz="0" w:space="0" w:color="auto"/>
          </w:divBdr>
        </w:div>
        <w:div w:id="1278685572">
          <w:marLeft w:val="0"/>
          <w:marRight w:val="0"/>
          <w:marTop w:val="0"/>
          <w:marBottom w:val="0"/>
          <w:divBdr>
            <w:top w:val="none" w:sz="0" w:space="0" w:color="auto"/>
            <w:left w:val="none" w:sz="0" w:space="0" w:color="auto"/>
            <w:bottom w:val="none" w:sz="0" w:space="0" w:color="auto"/>
            <w:right w:val="none" w:sz="0" w:space="0" w:color="auto"/>
          </w:divBdr>
        </w:div>
        <w:div w:id="19388319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4105</Characters>
  <Application>Microsoft Office Word</Application>
  <DocSecurity>0</DocSecurity>
  <PresentationFormat/>
  <Lines>34</Lines>
  <Paragraphs>9</Paragraphs>
  <Slides>0</Slides>
  <Notes>0</Notes>
  <HiddenSlides>0</HiddenSlides>
  <MMClips>0</MMClips>
  <ScaleCrop>false</ScaleCrop>
  <Manager/>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
  <cp:keywords/>
  <dc:description/>
  <cp:lastModifiedBy/>
  <cp:revision>1</cp:revision>
  <cp:lastPrinted>2009-08-14T06:05:00Z</cp:lastPrinted>
  <dcterms:created xsi:type="dcterms:W3CDTF">2024-05-09T09:31:00Z</dcterms:created>
  <dcterms:modified xsi:type="dcterms:W3CDTF">2024-05-10T02:20:00Z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2052-12.1.0.15120</vt:lpwstr>
  </property>
  <property fmtid="{D5CDD505-2E9C-101B-9397-08002B2CF9AE}" pid="7" name="ICV">
    <vt:lpwstr>5D1DAAB578504CAE96B2812DDF391390_12</vt:lpwstr>
  </property>
</Properties>
</file>